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12" w:rsidRDefault="00740A12" w:rsidP="00D37886">
      <w:pPr>
        <w:spacing w:before="240" w:after="360"/>
        <w:jc w:val="center"/>
        <w:rPr>
          <w:b/>
          <w:bCs/>
          <w:i/>
          <w:sz w:val="28"/>
          <w:szCs w:val="28"/>
        </w:rPr>
      </w:pPr>
      <w:r w:rsidRPr="0034025A">
        <w:rPr>
          <w:b/>
          <w:bCs/>
          <w:sz w:val="28"/>
          <w:szCs w:val="28"/>
        </w:rPr>
        <w:t>Інформація</w:t>
      </w:r>
      <w:r w:rsidRPr="0034025A">
        <w:rPr>
          <w:b/>
          <w:bCs/>
          <w:sz w:val="28"/>
          <w:szCs w:val="28"/>
        </w:rPr>
        <w:br/>
        <w:t xml:space="preserve">про стан виконання </w:t>
      </w:r>
      <w:r>
        <w:rPr>
          <w:b/>
          <w:bCs/>
          <w:sz w:val="28"/>
          <w:szCs w:val="28"/>
        </w:rPr>
        <w:t>плану пріоритетних дій Уряду на 2016 рік</w:t>
      </w:r>
      <w:r w:rsidRPr="0034025A">
        <w:rPr>
          <w:b/>
          <w:bCs/>
          <w:sz w:val="28"/>
          <w:szCs w:val="28"/>
        </w:rPr>
        <w:t xml:space="preserve">, </w:t>
      </w:r>
      <w:r>
        <w:rPr>
          <w:b/>
          <w:bCs/>
          <w:sz w:val="28"/>
          <w:szCs w:val="28"/>
        </w:rPr>
        <w:t xml:space="preserve">затвердженого розпорядженням Кабінету Міністрів України  від 27.05.2016 № 418 </w:t>
      </w:r>
      <w:r w:rsidRPr="0034025A">
        <w:rPr>
          <w:b/>
          <w:bCs/>
          <w:i/>
          <w:sz w:val="28"/>
          <w:szCs w:val="28"/>
        </w:rPr>
        <w:t xml:space="preserve">(за </w:t>
      </w:r>
      <w:r>
        <w:rPr>
          <w:b/>
          <w:bCs/>
          <w:i/>
          <w:sz w:val="28"/>
          <w:szCs w:val="28"/>
        </w:rPr>
        <w:t>червень -</w:t>
      </w:r>
      <w:r>
        <w:rPr>
          <w:b/>
          <w:bCs/>
          <w:i/>
          <w:sz w:val="28"/>
          <w:szCs w:val="28"/>
          <w:lang w:val="ru-RU"/>
        </w:rPr>
        <w:t> </w:t>
      </w:r>
      <w:r>
        <w:rPr>
          <w:b/>
          <w:bCs/>
          <w:i/>
          <w:sz w:val="28"/>
          <w:szCs w:val="28"/>
        </w:rPr>
        <w:t>вересень</w:t>
      </w:r>
      <w:r w:rsidRPr="0034025A">
        <w:rPr>
          <w:b/>
          <w:bCs/>
          <w:i/>
          <w:sz w:val="28"/>
          <w:szCs w:val="28"/>
        </w:rPr>
        <w:t xml:space="preserve"> 2016 року)</w:t>
      </w:r>
    </w:p>
    <w:tbl>
      <w:tblPr>
        <w:tblW w:w="1602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6"/>
        <w:gridCol w:w="3261"/>
        <w:gridCol w:w="2126"/>
        <w:gridCol w:w="1737"/>
        <w:gridCol w:w="1665"/>
        <w:gridCol w:w="6795"/>
      </w:tblGrid>
      <w:tr w:rsidR="00740A12" w:rsidRPr="0034025A" w:rsidTr="00740A12">
        <w:trPr>
          <w:tblHeader/>
        </w:trPr>
        <w:tc>
          <w:tcPr>
            <w:tcW w:w="436" w:type="dxa"/>
            <w:vAlign w:val="center"/>
          </w:tcPr>
          <w:p w:rsidR="00740A12" w:rsidRPr="00B455C1" w:rsidRDefault="00740A12" w:rsidP="005C1AF7">
            <w:pPr>
              <w:jc w:val="center"/>
            </w:pPr>
            <w:r w:rsidRPr="00B455C1">
              <w:rPr>
                <w:sz w:val="22"/>
                <w:szCs w:val="22"/>
              </w:rPr>
              <w:t>№</w:t>
            </w:r>
          </w:p>
          <w:p w:rsidR="00740A12" w:rsidRPr="00B455C1" w:rsidRDefault="00740A12" w:rsidP="005C1AF7">
            <w:pPr>
              <w:jc w:val="center"/>
            </w:pPr>
            <w:r w:rsidRPr="00B455C1">
              <w:rPr>
                <w:sz w:val="22"/>
                <w:szCs w:val="22"/>
              </w:rPr>
              <w:t>з/п</w:t>
            </w:r>
          </w:p>
        </w:tc>
        <w:tc>
          <w:tcPr>
            <w:tcW w:w="3261" w:type="dxa"/>
            <w:vAlign w:val="center"/>
          </w:tcPr>
          <w:p w:rsidR="00740A12" w:rsidRPr="00B455C1" w:rsidRDefault="00740A12" w:rsidP="005C1AF7">
            <w:pPr>
              <w:jc w:val="center"/>
            </w:pPr>
            <w:r w:rsidRPr="00B455C1">
              <w:rPr>
                <w:sz w:val="22"/>
                <w:szCs w:val="22"/>
              </w:rPr>
              <w:t>Кроки</w:t>
            </w:r>
          </w:p>
        </w:tc>
        <w:tc>
          <w:tcPr>
            <w:tcW w:w="2126" w:type="dxa"/>
            <w:vAlign w:val="center"/>
          </w:tcPr>
          <w:p w:rsidR="00740A12" w:rsidRPr="00B455C1" w:rsidRDefault="00740A12" w:rsidP="005C1AF7">
            <w:pPr>
              <w:jc w:val="center"/>
            </w:pPr>
            <w:r w:rsidRPr="00B455C1">
              <w:rPr>
                <w:sz w:val="22"/>
                <w:szCs w:val="22"/>
              </w:rPr>
              <w:t>Обґрунтування</w:t>
            </w:r>
          </w:p>
        </w:tc>
        <w:tc>
          <w:tcPr>
            <w:tcW w:w="1737" w:type="dxa"/>
            <w:vAlign w:val="center"/>
          </w:tcPr>
          <w:p w:rsidR="00740A12" w:rsidRPr="00B455C1" w:rsidRDefault="00740A12" w:rsidP="005C1AF7">
            <w:pPr>
              <w:jc w:val="center"/>
            </w:pPr>
            <w:r w:rsidRPr="00B455C1">
              <w:rPr>
                <w:sz w:val="22"/>
                <w:szCs w:val="22"/>
              </w:rPr>
              <w:t>Відповідальні за виконання</w:t>
            </w:r>
          </w:p>
        </w:tc>
        <w:tc>
          <w:tcPr>
            <w:tcW w:w="1665" w:type="dxa"/>
            <w:vAlign w:val="center"/>
          </w:tcPr>
          <w:p w:rsidR="00740A12" w:rsidRPr="00B455C1" w:rsidRDefault="00740A12" w:rsidP="005C1AF7">
            <w:pPr>
              <w:jc w:val="center"/>
            </w:pPr>
            <w:r w:rsidRPr="00B455C1">
              <w:rPr>
                <w:sz w:val="22"/>
                <w:szCs w:val="22"/>
              </w:rPr>
              <w:t>Строк</w:t>
            </w:r>
          </w:p>
        </w:tc>
        <w:tc>
          <w:tcPr>
            <w:tcW w:w="6795" w:type="dxa"/>
            <w:vAlign w:val="center"/>
          </w:tcPr>
          <w:p w:rsidR="00740A12" w:rsidRPr="00B455C1" w:rsidRDefault="00740A12" w:rsidP="005C1AF7">
            <w:pPr>
              <w:jc w:val="center"/>
            </w:pPr>
            <w:r w:rsidRPr="00B455C1">
              <w:rPr>
                <w:sz w:val="22"/>
                <w:szCs w:val="22"/>
              </w:rPr>
              <w:t>Стан виконання</w:t>
            </w:r>
          </w:p>
        </w:tc>
      </w:tr>
      <w:tr w:rsidR="00740A12" w:rsidRPr="0034025A" w:rsidTr="00A221F5">
        <w:trPr>
          <w:trHeight w:val="472"/>
          <w:tblHeader/>
        </w:trPr>
        <w:tc>
          <w:tcPr>
            <w:tcW w:w="436" w:type="dxa"/>
            <w:vAlign w:val="center"/>
          </w:tcPr>
          <w:p w:rsidR="00740A12" w:rsidRPr="00B455C1" w:rsidRDefault="00740A12" w:rsidP="005C1AF7">
            <w:pPr>
              <w:jc w:val="center"/>
            </w:pPr>
            <w:r w:rsidRPr="003E0D5C">
              <w:rPr>
                <w:rStyle w:val="rvts0"/>
                <w:b/>
                <w:sz w:val="22"/>
                <w:szCs w:val="22"/>
              </w:rPr>
              <w:t>III.</w:t>
            </w:r>
          </w:p>
        </w:tc>
        <w:tc>
          <w:tcPr>
            <w:tcW w:w="15584" w:type="dxa"/>
            <w:gridSpan w:val="5"/>
            <w:vAlign w:val="center"/>
          </w:tcPr>
          <w:p w:rsidR="00740A12" w:rsidRPr="00D41F26" w:rsidRDefault="00740A12" w:rsidP="00D41F26">
            <w:pPr>
              <w:widowControl w:val="0"/>
              <w:autoSpaceDE w:val="0"/>
              <w:autoSpaceDN w:val="0"/>
              <w:adjustRightInd w:val="0"/>
              <w:jc w:val="center"/>
              <w:rPr>
                <w:b/>
              </w:rPr>
            </w:pPr>
            <w:r>
              <w:rPr>
                <w:rStyle w:val="rvts0"/>
                <w:b/>
                <w:sz w:val="22"/>
                <w:szCs w:val="22"/>
              </w:rPr>
              <w:t>Модернізація інфраструктури</w:t>
            </w:r>
          </w:p>
        </w:tc>
      </w:tr>
      <w:tr w:rsidR="00740A12" w:rsidRPr="0034025A" w:rsidTr="00740A12">
        <w:trPr>
          <w:tblHeader/>
        </w:trPr>
        <w:tc>
          <w:tcPr>
            <w:tcW w:w="436" w:type="dxa"/>
            <w:vAlign w:val="center"/>
          </w:tcPr>
          <w:p w:rsidR="00740A12" w:rsidRPr="00B455C1" w:rsidRDefault="00740A12" w:rsidP="005C1AF7">
            <w:pPr>
              <w:jc w:val="center"/>
            </w:pPr>
            <w:r w:rsidRPr="006A4C82">
              <w:rPr>
                <w:b/>
                <w:sz w:val="22"/>
                <w:szCs w:val="22"/>
              </w:rPr>
              <w:t>5.</w:t>
            </w:r>
          </w:p>
        </w:tc>
        <w:tc>
          <w:tcPr>
            <w:tcW w:w="15584" w:type="dxa"/>
            <w:gridSpan w:val="5"/>
            <w:vAlign w:val="center"/>
          </w:tcPr>
          <w:p w:rsidR="00740A12" w:rsidRPr="00B455C1" w:rsidRDefault="00740A12" w:rsidP="005C1AF7">
            <w:pPr>
              <w:jc w:val="center"/>
            </w:pPr>
            <w:r w:rsidRPr="00D14785">
              <w:rPr>
                <w:b/>
                <w:sz w:val="22"/>
                <w:szCs w:val="22"/>
              </w:rPr>
              <w:t>Відновлення мережі доріг та формування якісно нової системи управління та фінансування дорожнього господарства</w:t>
            </w:r>
          </w:p>
        </w:tc>
      </w:tr>
      <w:tr w:rsidR="00740A12" w:rsidRPr="0034025A" w:rsidTr="00740A12">
        <w:trPr>
          <w:tblHeader/>
        </w:trPr>
        <w:tc>
          <w:tcPr>
            <w:tcW w:w="436" w:type="dxa"/>
          </w:tcPr>
          <w:p w:rsidR="00740A12" w:rsidRPr="00B455C1" w:rsidRDefault="00740A12" w:rsidP="005C1AF7">
            <w:pPr>
              <w:widowControl w:val="0"/>
              <w:autoSpaceDE w:val="0"/>
              <w:autoSpaceDN w:val="0"/>
              <w:adjustRightInd w:val="0"/>
              <w:ind w:left="-28" w:right="-28"/>
              <w:jc w:val="center"/>
            </w:pPr>
            <w:r w:rsidRPr="00B455C1">
              <w:rPr>
                <w:sz w:val="22"/>
                <w:szCs w:val="22"/>
              </w:rPr>
              <w:t>4.</w:t>
            </w:r>
          </w:p>
        </w:tc>
        <w:tc>
          <w:tcPr>
            <w:tcW w:w="3261" w:type="dxa"/>
          </w:tcPr>
          <w:p w:rsidR="00740A12" w:rsidRPr="00B455C1" w:rsidRDefault="00740A12" w:rsidP="005C1AF7">
            <w:pPr>
              <w:jc w:val="both"/>
            </w:pPr>
            <w:r w:rsidRPr="00B455C1">
              <w:rPr>
                <w:sz w:val="22"/>
                <w:szCs w:val="22"/>
              </w:rPr>
              <w:t>Підготовка до створення Державного дорожнього фонду</w:t>
            </w:r>
          </w:p>
        </w:tc>
        <w:tc>
          <w:tcPr>
            <w:tcW w:w="2126" w:type="dxa"/>
          </w:tcPr>
          <w:p w:rsidR="00740A12" w:rsidRPr="00B455C1" w:rsidRDefault="00740A12" w:rsidP="005C1AF7">
            <w:r w:rsidRPr="00B455C1">
              <w:rPr>
                <w:sz w:val="22"/>
                <w:szCs w:val="22"/>
              </w:rPr>
              <w:t>забезпечення фінансування доріг загального користування за рахунок їх користувачів - платників акцизів та митних зборів на пальне</w:t>
            </w:r>
          </w:p>
        </w:tc>
        <w:tc>
          <w:tcPr>
            <w:tcW w:w="1737" w:type="dxa"/>
          </w:tcPr>
          <w:p w:rsidR="00740A12" w:rsidRPr="00B455C1" w:rsidRDefault="00740A12" w:rsidP="005C1AF7">
            <w:r w:rsidRPr="00B455C1">
              <w:rPr>
                <w:sz w:val="22"/>
                <w:szCs w:val="22"/>
              </w:rPr>
              <w:t>Укравтодор</w:t>
            </w:r>
          </w:p>
          <w:p w:rsidR="00740A12" w:rsidRPr="00B455C1" w:rsidRDefault="00740A12" w:rsidP="005C1AF7">
            <w:r w:rsidRPr="00B455C1">
              <w:rPr>
                <w:sz w:val="22"/>
                <w:szCs w:val="22"/>
              </w:rPr>
              <w:t>Мінінфра-структури</w:t>
            </w:r>
          </w:p>
          <w:p w:rsidR="00740A12" w:rsidRPr="00B455C1" w:rsidRDefault="00740A12" w:rsidP="00E86B3B">
            <w:r w:rsidRPr="00B455C1">
              <w:rPr>
                <w:sz w:val="22"/>
                <w:szCs w:val="22"/>
              </w:rPr>
              <w:t>Мінфін</w:t>
            </w:r>
          </w:p>
          <w:p w:rsidR="00740A12" w:rsidRPr="00B455C1" w:rsidRDefault="00740A12" w:rsidP="005C1AF7">
            <w:r w:rsidRPr="00B455C1">
              <w:rPr>
                <w:sz w:val="22"/>
                <w:szCs w:val="22"/>
              </w:rPr>
              <w:t>Мін'юст</w:t>
            </w:r>
          </w:p>
        </w:tc>
        <w:tc>
          <w:tcPr>
            <w:tcW w:w="1665" w:type="dxa"/>
          </w:tcPr>
          <w:p w:rsidR="00740A12" w:rsidRPr="00475575" w:rsidRDefault="00740A12" w:rsidP="005C1AF7">
            <w:r w:rsidRPr="00475575">
              <w:rPr>
                <w:sz w:val="22"/>
                <w:szCs w:val="22"/>
              </w:rPr>
              <w:t>II - III квартали</w:t>
            </w:r>
          </w:p>
        </w:tc>
        <w:tc>
          <w:tcPr>
            <w:tcW w:w="6795" w:type="dxa"/>
          </w:tcPr>
          <w:p w:rsidR="00740A12" w:rsidRPr="00D41F26" w:rsidRDefault="00740A12" w:rsidP="005C1AF7">
            <w:pPr>
              <w:ind w:left="107" w:right="152" w:firstLine="227"/>
              <w:jc w:val="both"/>
              <w:rPr>
                <w:iCs/>
              </w:rPr>
            </w:pPr>
            <w:r w:rsidRPr="00D41F26">
              <w:rPr>
                <w:iCs/>
                <w:sz w:val="22"/>
                <w:szCs w:val="22"/>
              </w:rPr>
              <w:t xml:space="preserve">Відповідно до наказу Мінінфраструктури від 08.06.2016 № 207 утворено робочу групу з питань реформування дорожнього господарства та створення Державного дорожнього фонду України. </w:t>
            </w:r>
          </w:p>
          <w:p w:rsidR="00740A12" w:rsidRPr="00D41F26" w:rsidRDefault="00740A12" w:rsidP="005C1AF7">
            <w:pPr>
              <w:ind w:left="107" w:right="152" w:firstLine="227"/>
              <w:jc w:val="both"/>
              <w:rPr>
                <w:iCs/>
              </w:rPr>
            </w:pPr>
            <w:r w:rsidRPr="00D41F26">
              <w:rPr>
                <w:sz w:val="22"/>
                <w:szCs w:val="22"/>
              </w:rPr>
              <w:t>15.07.2016 у Верховній Раді України зареєстровано законопроекти «Про внесення змін до Закону України «Про джерела фінансування дорожнього господарства України» щодо удосконалення механізму фінансування дорожньої галузі» (реєстраційний номер 4014а) та «Про внесення змін до Бюджетного кодексу України щодо удосконалення механізму фінансування дорожньої галузі» (реєстраційний номер 4015а), розроблені Мінінфраструктури із залученням народних депутатів України, представників експертного середовища, заінтересованих центральних органів виконавчої влади.</w:t>
            </w:r>
          </w:p>
          <w:p w:rsidR="00740A12" w:rsidRPr="00D41F26" w:rsidRDefault="00740A12" w:rsidP="00D41F26">
            <w:pPr>
              <w:ind w:left="107" w:right="152" w:firstLine="227"/>
              <w:jc w:val="both"/>
              <w:rPr>
                <w:iCs/>
              </w:rPr>
            </w:pPr>
            <w:r w:rsidRPr="00D41F26">
              <w:rPr>
                <w:iCs/>
                <w:sz w:val="22"/>
                <w:szCs w:val="22"/>
              </w:rPr>
              <w:t xml:space="preserve">Прийняття законопроектів спрямоване на забезпечення стабільного та прогнозованого фінансування дорожнього господарства на всіх рівнях </w:t>
            </w:r>
          </w:p>
        </w:tc>
      </w:tr>
      <w:tr w:rsidR="00A221F5" w:rsidRPr="0034025A" w:rsidTr="00A8119A">
        <w:trPr>
          <w:tblHeader/>
        </w:trPr>
        <w:tc>
          <w:tcPr>
            <w:tcW w:w="436" w:type="dxa"/>
            <w:tcBorders>
              <w:bottom w:val="single" w:sz="4" w:space="0" w:color="auto"/>
            </w:tcBorders>
          </w:tcPr>
          <w:p w:rsidR="00A221F5" w:rsidRPr="00B455C1" w:rsidRDefault="00A221F5" w:rsidP="005C1AF7">
            <w:pPr>
              <w:widowControl w:val="0"/>
              <w:autoSpaceDE w:val="0"/>
              <w:autoSpaceDN w:val="0"/>
              <w:adjustRightInd w:val="0"/>
              <w:ind w:left="-28" w:right="-28"/>
              <w:jc w:val="center"/>
            </w:pPr>
            <w:r w:rsidRPr="00B455C1">
              <w:rPr>
                <w:b/>
                <w:sz w:val="22"/>
                <w:szCs w:val="22"/>
              </w:rPr>
              <w:t>7.</w:t>
            </w:r>
          </w:p>
        </w:tc>
        <w:tc>
          <w:tcPr>
            <w:tcW w:w="15584" w:type="dxa"/>
            <w:gridSpan w:val="5"/>
            <w:tcBorders>
              <w:bottom w:val="single" w:sz="4" w:space="0" w:color="auto"/>
            </w:tcBorders>
          </w:tcPr>
          <w:p w:rsidR="00A221F5" w:rsidRPr="00D41F26" w:rsidRDefault="00A221F5" w:rsidP="00A221F5">
            <w:pPr>
              <w:ind w:left="107" w:right="152" w:firstLine="227"/>
              <w:jc w:val="center"/>
              <w:rPr>
                <w:iCs/>
              </w:rPr>
            </w:pPr>
            <w:r w:rsidRPr="00B455C1">
              <w:rPr>
                <w:b/>
                <w:sz w:val="22"/>
                <w:szCs w:val="22"/>
              </w:rPr>
              <w:t>Реформування залізничного транспорту</w:t>
            </w:r>
          </w:p>
        </w:tc>
      </w:tr>
      <w:tr w:rsidR="00A221F5" w:rsidRPr="0034025A" w:rsidTr="00D37886">
        <w:trPr>
          <w:tblHeader/>
        </w:trPr>
        <w:tc>
          <w:tcPr>
            <w:tcW w:w="436" w:type="dxa"/>
            <w:tcBorders>
              <w:bottom w:val="nil"/>
            </w:tcBorders>
          </w:tcPr>
          <w:p w:rsidR="00A221F5" w:rsidRPr="00B455C1" w:rsidRDefault="00A221F5" w:rsidP="005C1AF7">
            <w:pPr>
              <w:widowControl w:val="0"/>
              <w:autoSpaceDE w:val="0"/>
              <w:autoSpaceDN w:val="0"/>
              <w:adjustRightInd w:val="0"/>
              <w:ind w:left="-28" w:right="-28"/>
              <w:jc w:val="center"/>
            </w:pPr>
            <w:r w:rsidRPr="00B455C1">
              <w:rPr>
                <w:sz w:val="22"/>
                <w:szCs w:val="22"/>
              </w:rPr>
              <w:t>1.</w:t>
            </w:r>
          </w:p>
        </w:tc>
        <w:tc>
          <w:tcPr>
            <w:tcW w:w="3261" w:type="dxa"/>
            <w:tcBorders>
              <w:bottom w:val="nil"/>
            </w:tcBorders>
          </w:tcPr>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Супроводження проекту Закону України "Про залізничний транспорт України" (реєстраційний номер 4593) у Верховній Раді України</w:t>
            </w:r>
          </w:p>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Borders>
              <w:bottom w:val="nil"/>
            </w:tcBorders>
          </w:tcPr>
          <w:p w:rsidR="00A221F5" w:rsidRPr="00B455C1" w:rsidRDefault="00A221F5" w:rsidP="005C1AF7">
            <w:r w:rsidRPr="00B455C1">
              <w:rPr>
                <w:sz w:val="22"/>
                <w:szCs w:val="22"/>
              </w:rPr>
              <w:t>створення законодавчого підґрунтя для реформування залізничного транспорту</w:t>
            </w:r>
          </w:p>
        </w:tc>
        <w:tc>
          <w:tcPr>
            <w:tcW w:w="1737" w:type="dxa"/>
            <w:tcBorders>
              <w:bottom w:val="nil"/>
            </w:tcBorders>
          </w:tcPr>
          <w:p w:rsidR="00A221F5" w:rsidRPr="00B455C1" w:rsidRDefault="00A221F5" w:rsidP="005C1AF7">
            <w:r w:rsidRPr="00B455C1">
              <w:rPr>
                <w:sz w:val="22"/>
                <w:szCs w:val="22"/>
              </w:rPr>
              <w:t>Мінінфра-структури</w:t>
            </w:r>
          </w:p>
        </w:tc>
        <w:tc>
          <w:tcPr>
            <w:tcW w:w="1665" w:type="dxa"/>
            <w:tcBorders>
              <w:bottom w:val="nil"/>
            </w:tcBorders>
          </w:tcPr>
          <w:p w:rsidR="00A221F5" w:rsidRPr="00D34C6B" w:rsidRDefault="00A221F5" w:rsidP="005C1AF7">
            <w:r w:rsidRPr="00D34C6B">
              <w:rPr>
                <w:sz w:val="22"/>
                <w:szCs w:val="22"/>
              </w:rPr>
              <w:t>до прийняття відповідного Закону</w:t>
            </w:r>
          </w:p>
        </w:tc>
        <w:tc>
          <w:tcPr>
            <w:tcW w:w="6795" w:type="dxa"/>
            <w:tcBorders>
              <w:bottom w:val="nil"/>
            </w:tcBorders>
          </w:tcPr>
          <w:p w:rsidR="00A221F5" w:rsidRPr="0037597E" w:rsidRDefault="00A221F5" w:rsidP="00A221F5">
            <w:pPr>
              <w:ind w:left="107" w:right="152" w:firstLine="227"/>
              <w:jc w:val="both"/>
            </w:pPr>
            <w:r w:rsidRPr="0037597E">
              <w:rPr>
                <w:sz w:val="22"/>
                <w:szCs w:val="22"/>
                <w:lang w:eastAsia="uk-UA"/>
              </w:rPr>
              <w:t>Проект Закону України «Про залізничний транспорт»</w:t>
            </w:r>
            <w:r w:rsidRPr="0037597E">
              <w:rPr>
                <w:sz w:val="22"/>
                <w:szCs w:val="22"/>
              </w:rPr>
              <w:t xml:space="preserve"> зареєстровано у Верховній Раді України 05.05.2016 за № 4593. </w:t>
            </w:r>
          </w:p>
          <w:p w:rsidR="00D37886" w:rsidRPr="00BF173E" w:rsidRDefault="00A221F5" w:rsidP="00A8119A">
            <w:pPr>
              <w:ind w:left="107" w:right="152" w:firstLine="227"/>
              <w:jc w:val="both"/>
              <w:rPr>
                <w:lang w:eastAsia="uk-UA"/>
              </w:rPr>
            </w:pPr>
            <w:r w:rsidRPr="0037597E">
              <w:rPr>
                <w:sz w:val="22"/>
                <w:szCs w:val="22"/>
                <w:lang w:eastAsia="uk-UA"/>
              </w:rPr>
              <w:t xml:space="preserve">Мінінфраструктури спільно з Комітетом Верховної Ради України з питань транспорту </w:t>
            </w:r>
            <w:r>
              <w:rPr>
                <w:sz w:val="22"/>
                <w:szCs w:val="22"/>
                <w:lang w:eastAsia="uk-UA"/>
              </w:rPr>
              <w:t xml:space="preserve">(далі – Комітет) </w:t>
            </w:r>
            <w:r w:rsidRPr="0037597E">
              <w:rPr>
                <w:sz w:val="22"/>
                <w:szCs w:val="22"/>
                <w:lang w:eastAsia="uk-UA"/>
              </w:rPr>
              <w:t>здійснює роботу щодо опрацювання законопроекту. Комітет анон</w:t>
            </w:r>
            <w:r>
              <w:rPr>
                <w:sz w:val="22"/>
                <w:szCs w:val="22"/>
                <w:lang w:eastAsia="uk-UA"/>
              </w:rPr>
              <w:t>сував</w:t>
            </w:r>
            <w:r w:rsidRPr="0037597E">
              <w:rPr>
                <w:sz w:val="22"/>
                <w:szCs w:val="22"/>
                <w:lang w:eastAsia="uk-UA"/>
              </w:rPr>
              <w:t xml:space="preserve"> </w:t>
            </w:r>
            <w:r>
              <w:rPr>
                <w:sz w:val="22"/>
                <w:szCs w:val="22"/>
                <w:lang w:eastAsia="uk-UA"/>
              </w:rPr>
              <w:t xml:space="preserve">проведення </w:t>
            </w:r>
            <w:r w:rsidRPr="0037597E">
              <w:rPr>
                <w:sz w:val="22"/>
                <w:szCs w:val="22"/>
                <w:lang w:eastAsia="uk-UA"/>
              </w:rPr>
              <w:t>низк</w:t>
            </w:r>
            <w:r>
              <w:rPr>
                <w:sz w:val="22"/>
                <w:szCs w:val="22"/>
                <w:lang w:eastAsia="uk-UA"/>
              </w:rPr>
              <w:t>и</w:t>
            </w:r>
            <w:r w:rsidRPr="0037597E">
              <w:rPr>
                <w:sz w:val="22"/>
                <w:szCs w:val="22"/>
                <w:lang w:eastAsia="uk-UA"/>
              </w:rPr>
              <w:t xml:space="preserve"> круглих столів щодо обговорення законопроекту</w:t>
            </w:r>
            <w:r>
              <w:rPr>
                <w:sz w:val="22"/>
                <w:szCs w:val="22"/>
                <w:lang w:eastAsia="uk-UA"/>
              </w:rPr>
              <w:t>.</w:t>
            </w:r>
          </w:p>
        </w:tc>
      </w:tr>
      <w:tr w:rsidR="00BA3F9D" w:rsidRPr="0034025A" w:rsidTr="00BF173E">
        <w:trPr>
          <w:tblHeader/>
        </w:trPr>
        <w:tc>
          <w:tcPr>
            <w:tcW w:w="436" w:type="dxa"/>
            <w:tcBorders>
              <w:top w:val="single" w:sz="4" w:space="0" w:color="auto"/>
              <w:bottom w:val="nil"/>
            </w:tcBorders>
          </w:tcPr>
          <w:p w:rsidR="00BA3F9D" w:rsidRPr="00B455C1" w:rsidRDefault="00BA3F9D" w:rsidP="005C1AF7">
            <w:pPr>
              <w:widowControl w:val="0"/>
              <w:autoSpaceDE w:val="0"/>
              <w:autoSpaceDN w:val="0"/>
              <w:adjustRightInd w:val="0"/>
              <w:ind w:left="-28" w:right="-28"/>
              <w:jc w:val="center"/>
            </w:pPr>
          </w:p>
        </w:tc>
        <w:tc>
          <w:tcPr>
            <w:tcW w:w="3261" w:type="dxa"/>
            <w:tcBorders>
              <w:top w:val="single" w:sz="4" w:space="0" w:color="auto"/>
              <w:bottom w:val="single" w:sz="4" w:space="0" w:color="auto"/>
            </w:tcBorders>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Borders>
              <w:top w:val="single" w:sz="4" w:space="0" w:color="auto"/>
              <w:bottom w:val="single" w:sz="4" w:space="0" w:color="auto"/>
            </w:tcBorders>
          </w:tcPr>
          <w:p w:rsidR="00BA3F9D" w:rsidRPr="00B455C1" w:rsidRDefault="00BA3F9D" w:rsidP="005C1AF7"/>
        </w:tc>
        <w:tc>
          <w:tcPr>
            <w:tcW w:w="1737" w:type="dxa"/>
            <w:tcBorders>
              <w:top w:val="single" w:sz="4" w:space="0" w:color="auto"/>
              <w:bottom w:val="single" w:sz="4" w:space="0" w:color="auto"/>
            </w:tcBorders>
          </w:tcPr>
          <w:p w:rsidR="00BA3F9D" w:rsidRPr="00B455C1" w:rsidRDefault="00BA3F9D" w:rsidP="005C1AF7"/>
        </w:tc>
        <w:tc>
          <w:tcPr>
            <w:tcW w:w="1665" w:type="dxa"/>
            <w:tcBorders>
              <w:top w:val="single" w:sz="4" w:space="0" w:color="auto"/>
              <w:bottom w:val="single" w:sz="4" w:space="0" w:color="auto"/>
            </w:tcBorders>
          </w:tcPr>
          <w:p w:rsidR="00BA3F9D" w:rsidRPr="00D34C6B" w:rsidRDefault="00BA3F9D" w:rsidP="005C1AF7"/>
        </w:tc>
        <w:tc>
          <w:tcPr>
            <w:tcW w:w="6795" w:type="dxa"/>
            <w:tcBorders>
              <w:top w:val="single" w:sz="4" w:space="0" w:color="auto"/>
              <w:bottom w:val="single" w:sz="4" w:space="0" w:color="auto"/>
            </w:tcBorders>
          </w:tcPr>
          <w:p w:rsidR="00BA3F9D" w:rsidRPr="00896B0B" w:rsidRDefault="00BA3F9D" w:rsidP="005C1AF7">
            <w:pPr>
              <w:ind w:left="107" w:right="152" w:firstLine="256"/>
              <w:jc w:val="both"/>
              <w:rPr>
                <w:sz w:val="28"/>
                <w:szCs w:val="28"/>
                <w:lang w:eastAsia="uk-UA"/>
              </w:rPr>
            </w:pPr>
            <w:r w:rsidRPr="0037597E">
              <w:rPr>
                <w:sz w:val="22"/>
                <w:szCs w:val="22"/>
                <w:lang w:eastAsia="uk-UA"/>
              </w:rPr>
              <w:t xml:space="preserve">Для врахування зауважень бізнесу, які можливо та доцільно врахувати на стадії розгляду законопроекту, 13.06.2016 та 21.06.2016 в Мінінфраструктури </w:t>
            </w:r>
            <w:r>
              <w:rPr>
                <w:sz w:val="22"/>
                <w:szCs w:val="22"/>
                <w:lang w:eastAsia="uk-UA"/>
              </w:rPr>
              <w:t>відбулися</w:t>
            </w:r>
            <w:r w:rsidRPr="0037597E">
              <w:rPr>
                <w:sz w:val="22"/>
                <w:szCs w:val="22"/>
                <w:lang w:eastAsia="uk-UA"/>
              </w:rPr>
              <w:t xml:space="preserve"> наради за участ</w:t>
            </w:r>
            <w:r>
              <w:rPr>
                <w:sz w:val="22"/>
                <w:szCs w:val="22"/>
                <w:lang w:eastAsia="uk-UA"/>
              </w:rPr>
              <w:t>ю</w:t>
            </w:r>
            <w:r w:rsidRPr="0037597E">
              <w:rPr>
                <w:sz w:val="22"/>
                <w:szCs w:val="22"/>
                <w:lang w:eastAsia="uk-UA"/>
              </w:rPr>
              <w:t xml:space="preserve"> представників Комітету, ПАТ «Укрзалізниця» та представників Європейської Бізнес Асоціації.</w:t>
            </w:r>
          </w:p>
          <w:p w:rsidR="00BA3F9D" w:rsidRPr="0037597E" w:rsidRDefault="00BA3F9D" w:rsidP="005C1AF7">
            <w:pPr>
              <w:ind w:left="107" w:right="152" w:firstLine="292"/>
              <w:jc w:val="both"/>
              <w:rPr>
                <w:lang w:eastAsia="uk-UA"/>
              </w:rPr>
            </w:pPr>
            <w:r w:rsidRPr="00896B0B">
              <w:rPr>
                <w:sz w:val="22"/>
                <w:szCs w:val="22"/>
                <w:lang w:eastAsia="uk-UA"/>
              </w:rPr>
              <w:t xml:space="preserve">Отримано позитивний висновок </w:t>
            </w:r>
            <w:r w:rsidRPr="00896B0B">
              <w:rPr>
                <w:color w:val="333333"/>
                <w:sz w:val="22"/>
                <w:szCs w:val="22"/>
                <w:shd w:val="clear" w:color="auto" w:fill="FFFFFF"/>
              </w:rPr>
              <w:t>Комітету</w:t>
            </w:r>
            <w:r w:rsidRPr="0037597E">
              <w:rPr>
                <w:sz w:val="22"/>
                <w:szCs w:val="22"/>
                <w:lang w:eastAsia="uk-UA"/>
              </w:rPr>
              <w:t xml:space="preserve"> Верховної Ради України</w:t>
            </w:r>
            <w:r w:rsidRPr="00896B0B">
              <w:rPr>
                <w:color w:val="333333"/>
                <w:sz w:val="22"/>
                <w:szCs w:val="22"/>
                <w:shd w:val="clear" w:color="auto" w:fill="FFFFFF"/>
              </w:rPr>
              <w:t xml:space="preserve"> з питань запобігання і протидії корупції</w:t>
            </w:r>
            <w:r w:rsidRPr="00896B0B" w:rsidDel="00896B0B">
              <w:rPr>
                <w:sz w:val="28"/>
                <w:szCs w:val="28"/>
                <w:lang w:eastAsia="uk-UA"/>
              </w:rPr>
              <w:t xml:space="preserve"> </w:t>
            </w:r>
            <w:r w:rsidRPr="0037597E">
              <w:rPr>
                <w:sz w:val="22"/>
                <w:szCs w:val="22"/>
                <w:lang w:eastAsia="uk-UA"/>
              </w:rPr>
              <w:t>(в законопроекті корупціогенні фактори відсутні) та висновок із зауваженнями від Головного науково-експертного управління Верховної Ради України.</w:t>
            </w:r>
          </w:p>
          <w:p w:rsidR="00BA3F9D" w:rsidRPr="0037597E" w:rsidRDefault="00BA3F9D" w:rsidP="005C1AF7">
            <w:pPr>
              <w:ind w:left="107" w:right="152" w:firstLine="292"/>
              <w:jc w:val="both"/>
              <w:rPr>
                <w:lang w:eastAsia="uk-UA"/>
              </w:rPr>
            </w:pPr>
            <w:r w:rsidRPr="0037597E">
              <w:rPr>
                <w:sz w:val="22"/>
                <w:szCs w:val="22"/>
                <w:lang w:eastAsia="uk-UA"/>
              </w:rPr>
              <w:t>Листом від 30.06.2016 №6455/45/10-16 направлено прохання до Комітету стосовно утворення робочої групи.</w:t>
            </w:r>
          </w:p>
          <w:p w:rsidR="00BA3F9D" w:rsidRPr="00F564BD" w:rsidRDefault="00BA3F9D" w:rsidP="005C1AF7">
            <w:pPr>
              <w:ind w:left="107" w:right="152" w:firstLine="292"/>
              <w:jc w:val="both"/>
              <w:rPr>
                <w:lang w:eastAsia="uk-UA"/>
              </w:rPr>
            </w:pPr>
            <w:r w:rsidRPr="0037597E">
              <w:rPr>
                <w:sz w:val="22"/>
                <w:szCs w:val="22"/>
                <w:lang w:eastAsia="uk-UA"/>
              </w:rPr>
              <w:t>На лист Комітету від 07.07.2016 №04-36/10-488 листом</w:t>
            </w:r>
            <w:r>
              <w:rPr>
                <w:sz w:val="22"/>
                <w:szCs w:val="22"/>
                <w:lang w:eastAsia="uk-UA"/>
              </w:rPr>
              <w:t xml:space="preserve"> </w:t>
            </w:r>
            <w:r w:rsidRPr="00F564BD">
              <w:rPr>
                <w:sz w:val="22"/>
                <w:szCs w:val="22"/>
                <w:lang w:eastAsia="uk-UA"/>
              </w:rPr>
              <w:t>від</w:t>
            </w:r>
            <w:r>
              <w:rPr>
                <w:sz w:val="22"/>
                <w:szCs w:val="22"/>
                <w:lang w:eastAsia="uk-UA"/>
              </w:rPr>
              <w:t xml:space="preserve"> </w:t>
            </w:r>
            <w:r w:rsidRPr="00F564BD">
              <w:rPr>
                <w:sz w:val="22"/>
                <w:szCs w:val="22"/>
                <w:lang w:eastAsia="uk-UA"/>
              </w:rPr>
              <w:t>08.07.2016</w:t>
            </w:r>
            <w:r>
              <w:rPr>
                <w:sz w:val="22"/>
                <w:szCs w:val="22"/>
                <w:lang w:eastAsia="uk-UA"/>
              </w:rPr>
              <w:t xml:space="preserve"> </w:t>
            </w:r>
            <w:r w:rsidRPr="00F564BD">
              <w:rPr>
                <w:sz w:val="22"/>
                <w:szCs w:val="22"/>
                <w:lang w:eastAsia="uk-UA"/>
              </w:rPr>
              <w:t xml:space="preserve">№ 6831/45/10-16 надано кандидатури до складу Робочої групи з питань опрацювання законопроекту. 13.07.2016 на засіданні Комітету затверджено склад Робочої групи. </w:t>
            </w:r>
          </w:p>
          <w:p w:rsidR="00BA3F9D" w:rsidRPr="00F564BD" w:rsidRDefault="00BA3F9D" w:rsidP="005C1AF7">
            <w:pPr>
              <w:ind w:left="107" w:right="152" w:firstLine="292"/>
              <w:jc w:val="both"/>
              <w:rPr>
                <w:lang w:eastAsia="uk-UA"/>
              </w:rPr>
            </w:pPr>
            <w:r w:rsidRPr="00F564BD">
              <w:rPr>
                <w:sz w:val="22"/>
                <w:szCs w:val="22"/>
                <w:lang w:eastAsia="uk-UA"/>
              </w:rPr>
              <w:t xml:space="preserve">15.07.2016 проведено першу нараду Робочої групи, на якій розглянуто питання, що стосуються безпеки та технічної політики. </w:t>
            </w:r>
            <w:r w:rsidRPr="001B53CF">
              <w:rPr>
                <w:sz w:val="22"/>
                <w:szCs w:val="22"/>
                <w:lang w:eastAsia="uk-UA"/>
              </w:rPr>
              <w:t>На виконання рішення Робочої групи та запиту Комітету від 01.08.2016 № 04-36/10-545 проведено аналіз законопроекту на наявність дозвільних документів та адміністративних послуг, результати якого листом від 15.08.2016 №</w:t>
            </w:r>
            <w:r>
              <w:rPr>
                <w:sz w:val="22"/>
                <w:szCs w:val="22"/>
                <w:lang w:eastAsia="uk-UA"/>
              </w:rPr>
              <w:t xml:space="preserve"> </w:t>
            </w:r>
            <w:r w:rsidRPr="001B53CF">
              <w:rPr>
                <w:sz w:val="22"/>
                <w:szCs w:val="22"/>
                <w:lang w:eastAsia="uk-UA"/>
              </w:rPr>
              <w:t>8045/45/10-16 надані до Комітету</w:t>
            </w:r>
            <w:r w:rsidRPr="00F564BD">
              <w:rPr>
                <w:sz w:val="22"/>
                <w:szCs w:val="22"/>
                <w:lang w:eastAsia="uk-UA"/>
              </w:rPr>
              <w:t>.</w:t>
            </w:r>
          </w:p>
          <w:p w:rsidR="00BA3F9D" w:rsidRDefault="00BA3F9D" w:rsidP="005C1AF7">
            <w:pPr>
              <w:ind w:left="107" w:right="152" w:firstLine="256"/>
              <w:jc w:val="both"/>
              <w:rPr>
                <w:lang w:eastAsia="uk-UA"/>
              </w:rPr>
            </w:pPr>
            <w:r w:rsidRPr="00F564BD">
              <w:rPr>
                <w:sz w:val="22"/>
                <w:szCs w:val="22"/>
                <w:lang w:eastAsia="uk-UA"/>
              </w:rPr>
              <w:t xml:space="preserve">За ініціативою Американської Торгівельної Палати 26.07.2016 проведено нараду з представниками бізнесу щодо опрацювання </w:t>
            </w:r>
            <w:r>
              <w:rPr>
                <w:sz w:val="22"/>
                <w:szCs w:val="22"/>
                <w:lang w:eastAsia="uk-UA"/>
              </w:rPr>
              <w:t xml:space="preserve">її </w:t>
            </w:r>
            <w:r w:rsidRPr="00F564BD">
              <w:rPr>
                <w:sz w:val="22"/>
                <w:szCs w:val="22"/>
                <w:lang w:eastAsia="uk-UA"/>
              </w:rPr>
              <w:t xml:space="preserve">нових коментарів </w:t>
            </w:r>
          </w:p>
          <w:p w:rsidR="00BA3F9D" w:rsidRDefault="00BA3F9D" w:rsidP="005C1AF7">
            <w:pPr>
              <w:ind w:left="107" w:right="152" w:firstLine="256"/>
              <w:jc w:val="both"/>
            </w:pPr>
            <w:r w:rsidRPr="00B962DC">
              <w:rPr>
                <w:sz w:val="22"/>
                <w:szCs w:val="22"/>
              </w:rPr>
              <w:t>15.09.2016 проведено другу нараду Робочої групи, на якій предметно розглянуто пропозиції представників бізнесу. Прийняте рішення до 01.10.2016 узгодити остаточну (доопрацьовану) редакцію законопроекту. 23.09.2016 проведен</w:t>
            </w:r>
            <w:r w:rsidR="00B962DC">
              <w:rPr>
                <w:sz w:val="22"/>
                <w:szCs w:val="22"/>
              </w:rPr>
              <w:t>о узгоджувальну нараду з ПАТ «Укрзалізниця</w:t>
            </w:r>
            <w:r w:rsidRPr="00B962DC">
              <w:rPr>
                <w:sz w:val="22"/>
                <w:szCs w:val="22"/>
              </w:rPr>
              <w:t>» щодо пропозицій бізнесу та К</w:t>
            </w:r>
            <w:r w:rsidR="00B962DC">
              <w:rPr>
                <w:sz w:val="22"/>
                <w:szCs w:val="22"/>
              </w:rPr>
              <w:t>омітету Верховної Ради України</w:t>
            </w:r>
            <w:r w:rsidRPr="00B962DC">
              <w:rPr>
                <w:sz w:val="22"/>
                <w:szCs w:val="22"/>
              </w:rPr>
              <w:t xml:space="preserve"> до законопроекту.</w:t>
            </w:r>
          </w:p>
          <w:p w:rsidR="00BF173E" w:rsidRPr="00B962DC" w:rsidRDefault="00BF173E" w:rsidP="00214CD8">
            <w:pPr>
              <w:ind w:right="152"/>
              <w:jc w:val="both"/>
            </w:pPr>
          </w:p>
        </w:tc>
      </w:tr>
      <w:tr w:rsidR="00BF173E" w:rsidRPr="0034025A" w:rsidTr="00BF173E">
        <w:trPr>
          <w:tblHeader/>
        </w:trPr>
        <w:tc>
          <w:tcPr>
            <w:tcW w:w="436" w:type="dxa"/>
            <w:tcBorders>
              <w:top w:val="nil"/>
              <w:left w:val="nil"/>
              <w:bottom w:val="nil"/>
              <w:right w:val="nil"/>
            </w:tcBorders>
          </w:tcPr>
          <w:p w:rsidR="00BF173E" w:rsidRPr="00B455C1" w:rsidRDefault="00BF173E" w:rsidP="005C1AF7">
            <w:pPr>
              <w:widowControl w:val="0"/>
              <w:autoSpaceDE w:val="0"/>
              <w:autoSpaceDN w:val="0"/>
              <w:adjustRightInd w:val="0"/>
              <w:ind w:left="-28" w:right="-28"/>
              <w:jc w:val="center"/>
            </w:pPr>
          </w:p>
        </w:tc>
        <w:tc>
          <w:tcPr>
            <w:tcW w:w="3261" w:type="dxa"/>
            <w:tcBorders>
              <w:top w:val="single" w:sz="4" w:space="0" w:color="auto"/>
              <w:left w:val="nil"/>
              <w:bottom w:val="nil"/>
              <w:right w:val="nil"/>
            </w:tcBorders>
          </w:tcPr>
          <w:p w:rsidR="00BF173E" w:rsidRPr="00B455C1" w:rsidRDefault="00BF173E"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Borders>
              <w:top w:val="single" w:sz="4" w:space="0" w:color="auto"/>
              <w:left w:val="nil"/>
              <w:bottom w:val="nil"/>
              <w:right w:val="nil"/>
            </w:tcBorders>
          </w:tcPr>
          <w:p w:rsidR="00BF173E" w:rsidRPr="00B455C1" w:rsidRDefault="00BF173E" w:rsidP="005C1AF7"/>
        </w:tc>
        <w:tc>
          <w:tcPr>
            <w:tcW w:w="1737" w:type="dxa"/>
            <w:tcBorders>
              <w:top w:val="single" w:sz="4" w:space="0" w:color="auto"/>
              <w:left w:val="nil"/>
              <w:bottom w:val="nil"/>
              <w:right w:val="nil"/>
            </w:tcBorders>
          </w:tcPr>
          <w:p w:rsidR="00D37886" w:rsidRPr="00B455C1" w:rsidRDefault="00D37886" w:rsidP="005C1AF7"/>
        </w:tc>
        <w:tc>
          <w:tcPr>
            <w:tcW w:w="1665" w:type="dxa"/>
            <w:tcBorders>
              <w:top w:val="single" w:sz="4" w:space="0" w:color="auto"/>
              <w:left w:val="nil"/>
              <w:bottom w:val="nil"/>
              <w:right w:val="nil"/>
            </w:tcBorders>
          </w:tcPr>
          <w:p w:rsidR="00BF173E" w:rsidRPr="00D34C6B" w:rsidRDefault="00BF173E" w:rsidP="005C1AF7"/>
        </w:tc>
        <w:tc>
          <w:tcPr>
            <w:tcW w:w="6795" w:type="dxa"/>
            <w:tcBorders>
              <w:top w:val="single" w:sz="4" w:space="0" w:color="auto"/>
              <w:left w:val="nil"/>
              <w:bottom w:val="nil"/>
              <w:right w:val="nil"/>
            </w:tcBorders>
          </w:tcPr>
          <w:p w:rsidR="00BF173E" w:rsidRPr="0037597E" w:rsidRDefault="00BF173E" w:rsidP="005C1AF7">
            <w:pPr>
              <w:ind w:left="107" w:right="152" w:firstLine="227"/>
              <w:jc w:val="both"/>
              <w:rPr>
                <w:lang w:eastAsia="uk-UA"/>
              </w:rPr>
            </w:pPr>
          </w:p>
        </w:tc>
      </w:tr>
      <w:tr w:rsidR="00BA3F9D" w:rsidRPr="0034025A" w:rsidTr="00BF173E">
        <w:trPr>
          <w:tblHeader/>
        </w:trPr>
        <w:tc>
          <w:tcPr>
            <w:tcW w:w="436" w:type="dxa"/>
            <w:tcBorders>
              <w:top w:val="single" w:sz="4" w:space="0" w:color="auto"/>
            </w:tcBorders>
          </w:tcPr>
          <w:p w:rsidR="00BA3F9D" w:rsidRPr="00B455C1" w:rsidRDefault="00BA3F9D" w:rsidP="005C1AF7">
            <w:pPr>
              <w:widowControl w:val="0"/>
              <w:autoSpaceDE w:val="0"/>
              <w:autoSpaceDN w:val="0"/>
              <w:adjustRightInd w:val="0"/>
              <w:ind w:left="-28" w:right="-28"/>
              <w:jc w:val="center"/>
            </w:pPr>
            <w:r w:rsidRPr="00B455C1">
              <w:rPr>
                <w:sz w:val="22"/>
                <w:szCs w:val="22"/>
              </w:rPr>
              <w:lastRenderedPageBreak/>
              <w:t>2.</w:t>
            </w:r>
          </w:p>
        </w:tc>
        <w:tc>
          <w:tcPr>
            <w:tcW w:w="3261" w:type="dxa"/>
            <w:tcBorders>
              <w:top w:val="single" w:sz="4" w:space="0" w:color="auto"/>
            </w:tcBorders>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Упорядкування організації та фінансування соціально важливих пасажирських перевезень</w:t>
            </w:r>
          </w:p>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Borders>
              <w:top w:val="single" w:sz="4" w:space="0" w:color="auto"/>
            </w:tcBorders>
          </w:tcPr>
          <w:p w:rsidR="00BA3F9D" w:rsidRPr="00B455C1" w:rsidRDefault="00BA3F9D" w:rsidP="005C1AF7">
            <w:r w:rsidRPr="00B455C1">
              <w:rPr>
                <w:sz w:val="22"/>
                <w:szCs w:val="22"/>
              </w:rPr>
              <w:t xml:space="preserve">затвердження Порядку державного замовлення на соціальні (публічні) послуги всіх сегментів пасажирських перевезень залізничним транспортом, який враховуватиме положення Регламенту (ЄС) </w:t>
            </w:r>
          </w:p>
          <w:p w:rsidR="00BA3F9D" w:rsidRPr="00B455C1" w:rsidRDefault="00BA3F9D" w:rsidP="005C1AF7">
            <w:r w:rsidRPr="00B455C1">
              <w:rPr>
                <w:sz w:val="22"/>
                <w:szCs w:val="22"/>
              </w:rPr>
              <w:t>№</w:t>
            </w:r>
            <w:r w:rsidRPr="00B455C1">
              <w:rPr>
                <w:sz w:val="22"/>
                <w:szCs w:val="22"/>
                <w:lang w:val="ru-RU"/>
              </w:rPr>
              <w:t> </w:t>
            </w:r>
            <w:r w:rsidRPr="00B455C1">
              <w:rPr>
                <w:sz w:val="22"/>
                <w:szCs w:val="22"/>
              </w:rPr>
              <w:t>1370/2007 Європейського Парламенту та Ради від 23.10.2007 про громадські послуги з перевезення пасажирів залізницею і автомобільними шляхами, що скасовує Регламенти Ради (ЄЕС) N 1191/69 і 1107/70 та впроваджуватиметься паралельно з децентралізацією та передачею регіонам повноважень щодо розпорядження фінансовими ресурсами</w:t>
            </w:r>
          </w:p>
        </w:tc>
        <w:tc>
          <w:tcPr>
            <w:tcW w:w="1737" w:type="dxa"/>
            <w:tcBorders>
              <w:top w:val="single" w:sz="4" w:space="0" w:color="auto"/>
            </w:tcBorders>
          </w:tcPr>
          <w:p w:rsidR="00BA3F9D" w:rsidRPr="00B455C1" w:rsidRDefault="00BA3F9D" w:rsidP="005C1AF7">
            <w:r w:rsidRPr="00B455C1">
              <w:rPr>
                <w:sz w:val="22"/>
                <w:szCs w:val="22"/>
              </w:rPr>
              <w:t>Мінінфра-структури</w:t>
            </w:r>
          </w:p>
          <w:p w:rsidR="00BA3F9D" w:rsidRPr="00B455C1" w:rsidRDefault="00BA3F9D" w:rsidP="005C1AF7">
            <w:r w:rsidRPr="00B455C1">
              <w:rPr>
                <w:sz w:val="22"/>
                <w:szCs w:val="22"/>
              </w:rPr>
              <w:t>Мінсоцполітики</w:t>
            </w:r>
          </w:p>
          <w:p w:rsidR="00BA3F9D" w:rsidRPr="00B455C1" w:rsidRDefault="00BA3F9D" w:rsidP="005C1AF7">
            <w:r w:rsidRPr="00B455C1">
              <w:rPr>
                <w:sz w:val="22"/>
                <w:szCs w:val="22"/>
              </w:rPr>
              <w:t>Мінеконом-розвитку</w:t>
            </w:r>
          </w:p>
          <w:p w:rsidR="00BA3F9D" w:rsidRPr="00B455C1" w:rsidRDefault="00BA3F9D" w:rsidP="005C1AF7">
            <w:r w:rsidRPr="00B455C1">
              <w:rPr>
                <w:sz w:val="22"/>
                <w:szCs w:val="22"/>
              </w:rPr>
              <w:t>Мінфін</w:t>
            </w:r>
          </w:p>
        </w:tc>
        <w:tc>
          <w:tcPr>
            <w:tcW w:w="1665" w:type="dxa"/>
            <w:tcBorders>
              <w:top w:val="single" w:sz="4" w:space="0" w:color="auto"/>
            </w:tcBorders>
          </w:tcPr>
          <w:p w:rsidR="00BA3F9D" w:rsidRPr="00D34C6B" w:rsidRDefault="00BA3F9D" w:rsidP="005C1AF7">
            <w:r w:rsidRPr="00D34C6B">
              <w:rPr>
                <w:sz w:val="22"/>
                <w:szCs w:val="22"/>
              </w:rPr>
              <w:t>у шестимісячний строк після прийняття Закону України "Про залізничний транспорт України"</w:t>
            </w:r>
          </w:p>
        </w:tc>
        <w:tc>
          <w:tcPr>
            <w:tcW w:w="6795" w:type="dxa"/>
            <w:tcBorders>
              <w:top w:val="single" w:sz="4" w:space="0" w:color="auto"/>
            </w:tcBorders>
          </w:tcPr>
          <w:p w:rsidR="00BA3F9D" w:rsidRPr="000C43AA" w:rsidRDefault="00BA3F9D" w:rsidP="005C1AF7">
            <w:pPr>
              <w:ind w:left="107" w:right="152" w:firstLine="227"/>
              <w:jc w:val="both"/>
            </w:pPr>
            <w:r w:rsidRPr="000C43AA">
              <w:rPr>
                <w:sz w:val="22"/>
                <w:szCs w:val="22"/>
              </w:rPr>
              <w:t xml:space="preserve">Вивчено міжнародний досвід впровадження замовлення </w:t>
            </w:r>
            <w:r w:rsidRPr="000C43AA">
              <w:rPr>
                <w:sz w:val="22"/>
                <w:szCs w:val="22"/>
              </w:rPr>
              <w:br/>
              <w:t xml:space="preserve">на соціальні (публічні) перевезення пасажирів залізничним транспортом (PSO). </w:t>
            </w:r>
          </w:p>
          <w:p w:rsidR="00BA3F9D" w:rsidRPr="000C43AA" w:rsidRDefault="00BA3F9D" w:rsidP="005C1AF7">
            <w:pPr>
              <w:ind w:left="107" w:right="152" w:firstLine="227"/>
              <w:jc w:val="both"/>
            </w:pPr>
            <w:r w:rsidRPr="000C43AA">
              <w:rPr>
                <w:sz w:val="22"/>
                <w:szCs w:val="22"/>
              </w:rPr>
              <w:t xml:space="preserve">Спільно з європейськими фахівцями опрацьовано зміст та суттєві особливості Порядку державного замовлення на соціальні (публічні) послуги усіх сегментів пасажирських перевезень залізничним транспортом, виходячи з Регламенту ЄС 1370/2007. </w:t>
            </w:r>
          </w:p>
          <w:p w:rsidR="00BA3F9D" w:rsidRPr="000C43AA" w:rsidRDefault="00BA3F9D" w:rsidP="005C1AF7">
            <w:pPr>
              <w:ind w:left="107" w:right="152" w:firstLine="227"/>
              <w:jc w:val="both"/>
            </w:pPr>
            <w:r w:rsidRPr="000C43AA">
              <w:rPr>
                <w:sz w:val="22"/>
                <w:szCs w:val="22"/>
              </w:rPr>
              <w:t>На основі звіту європейських експертів розробляється проект Порядку</w:t>
            </w:r>
            <w:r w:rsidRPr="00B455C1">
              <w:rPr>
                <w:sz w:val="22"/>
                <w:szCs w:val="22"/>
              </w:rPr>
              <w:t xml:space="preserve"> державного замовлення на соціальні (публічні) послуги всіх сегментів пасажирських перевезень залізничним транспортом</w:t>
            </w:r>
          </w:p>
          <w:p w:rsidR="00BA3F9D" w:rsidRPr="00D10060" w:rsidRDefault="00BA3F9D" w:rsidP="00080E2C">
            <w:pPr>
              <w:ind w:left="107" w:right="152"/>
            </w:pPr>
          </w:p>
        </w:tc>
      </w:tr>
      <w:tr w:rsidR="00BA3F9D" w:rsidRPr="0034025A" w:rsidTr="00D37886">
        <w:trPr>
          <w:trHeight w:val="3402"/>
          <w:tblHeader/>
        </w:trPr>
        <w:tc>
          <w:tcPr>
            <w:tcW w:w="436" w:type="dxa"/>
          </w:tcPr>
          <w:p w:rsidR="00BA3F9D" w:rsidRPr="00B455C1" w:rsidRDefault="00BA3F9D" w:rsidP="005C1AF7">
            <w:pPr>
              <w:widowControl w:val="0"/>
              <w:autoSpaceDE w:val="0"/>
              <w:autoSpaceDN w:val="0"/>
              <w:adjustRightInd w:val="0"/>
              <w:ind w:left="-28" w:right="-28"/>
              <w:jc w:val="center"/>
            </w:pPr>
            <w:r w:rsidRPr="00B455C1">
              <w:rPr>
                <w:sz w:val="22"/>
                <w:szCs w:val="22"/>
              </w:rPr>
              <w:lastRenderedPageBreak/>
              <w:t>3.</w:t>
            </w:r>
          </w:p>
        </w:tc>
        <w:tc>
          <w:tcPr>
            <w:tcW w:w="3261"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Створення ефективної моделі управління залізничним транспортом, підготовка до утворення та функціонування центрального органу виконавчої влади, що реалізує державну політику у сфері залізничного транспорту</w:t>
            </w:r>
          </w:p>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Pr>
          <w:p w:rsidR="00BA3F9D" w:rsidRPr="00B455C1" w:rsidRDefault="00BA3F9D" w:rsidP="005C1AF7">
            <w:r w:rsidRPr="00B455C1">
              <w:rPr>
                <w:sz w:val="22"/>
                <w:szCs w:val="22"/>
              </w:rPr>
              <w:t>розроблення положення та організаційної структури центрального органу виконавчої влади, що реалізує державну політику у сфері залізничного транспорту, передбачене в рамках реформування системи державного управління галуззю</w:t>
            </w:r>
          </w:p>
        </w:tc>
        <w:tc>
          <w:tcPr>
            <w:tcW w:w="1737" w:type="dxa"/>
          </w:tcPr>
          <w:p w:rsidR="00BA3F9D" w:rsidRPr="00B455C1" w:rsidRDefault="00BA3F9D" w:rsidP="005C1AF7">
            <w:r w:rsidRPr="00B455C1">
              <w:rPr>
                <w:sz w:val="22"/>
                <w:szCs w:val="22"/>
              </w:rPr>
              <w:t>Мінінфра-структури</w:t>
            </w:r>
          </w:p>
        </w:tc>
        <w:tc>
          <w:tcPr>
            <w:tcW w:w="1665" w:type="dxa"/>
          </w:tcPr>
          <w:p w:rsidR="00BA3F9D" w:rsidRPr="00D34C6B" w:rsidRDefault="00BA3F9D" w:rsidP="005C1AF7">
            <w:r w:rsidRPr="00D34C6B">
              <w:rPr>
                <w:sz w:val="22"/>
                <w:szCs w:val="22"/>
              </w:rPr>
              <w:t>у тримісячний строк після прийняття Закону України "Про залізничний транспорт України"</w:t>
            </w:r>
          </w:p>
        </w:tc>
        <w:tc>
          <w:tcPr>
            <w:tcW w:w="6795" w:type="dxa"/>
          </w:tcPr>
          <w:p w:rsidR="00BA3F9D" w:rsidRDefault="00BA3F9D" w:rsidP="00BA3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07" w:right="152" w:firstLine="227"/>
              <w:jc w:val="both"/>
            </w:pPr>
            <w:r w:rsidRPr="0034025A">
              <w:rPr>
                <w:sz w:val="22"/>
                <w:szCs w:val="22"/>
              </w:rPr>
              <w:t>Визначено попередній перелік функцій</w:t>
            </w:r>
            <w:r>
              <w:rPr>
                <w:sz w:val="22"/>
                <w:szCs w:val="22"/>
              </w:rPr>
              <w:t>,</w:t>
            </w:r>
            <w:r w:rsidRPr="0034025A">
              <w:rPr>
                <w:sz w:val="22"/>
                <w:szCs w:val="22"/>
              </w:rPr>
              <w:t xml:space="preserve"> організаційну схему центрального органу виконавчої влади, що реалізує державну політику </w:t>
            </w:r>
            <w:r>
              <w:rPr>
                <w:sz w:val="22"/>
                <w:szCs w:val="22"/>
              </w:rPr>
              <w:t xml:space="preserve">у сфері залізничного транспорту, </w:t>
            </w:r>
            <w:r w:rsidRPr="0034025A">
              <w:rPr>
                <w:sz w:val="22"/>
                <w:szCs w:val="22"/>
              </w:rPr>
              <w:t xml:space="preserve">розроблено </w:t>
            </w:r>
            <w:r>
              <w:rPr>
                <w:sz w:val="22"/>
                <w:szCs w:val="22"/>
              </w:rPr>
              <w:t>проект</w:t>
            </w:r>
            <w:r w:rsidRPr="005C340B">
              <w:rPr>
                <w:sz w:val="22"/>
                <w:szCs w:val="22"/>
                <w:lang w:val="ru-RU"/>
              </w:rPr>
              <w:t>и</w:t>
            </w:r>
            <w:r>
              <w:rPr>
                <w:sz w:val="22"/>
                <w:szCs w:val="22"/>
              </w:rPr>
              <w:t xml:space="preserve"> положення про </w:t>
            </w:r>
            <w:r w:rsidRPr="0034025A">
              <w:rPr>
                <w:sz w:val="22"/>
                <w:szCs w:val="22"/>
              </w:rPr>
              <w:t>центральн</w:t>
            </w:r>
            <w:r>
              <w:rPr>
                <w:sz w:val="22"/>
                <w:szCs w:val="22"/>
              </w:rPr>
              <w:t xml:space="preserve">ий </w:t>
            </w:r>
            <w:r w:rsidRPr="0034025A">
              <w:rPr>
                <w:sz w:val="22"/>
                <w:szCs w:val="22"/>
              </w:rPr>
              <w:t>орган</w:t>
            </w:r>
            <w:r>
              <w:rPr>
                <w:sz w:val="22"/>
                <w:szCs w:val="22"/>
              </w:rPr>
              <w:t xml:space="preserve"> </w:t>
            </w:r>
            <w:r w:rsidRPr="0034025A">
              <w:rPr>
                <w:sz w:val="22"/>
                <w:szCs w:val="22"/>
              </w:rPr>
              <w:t>виконавчої влади</w:t>
            </w:r>
            <w:r>
              <w:rPr>
                <w:sz w:val="22"/>
                <w:szCs w:val="22"/>
              </w:rPr>
              <w:t xml:space="preserve"> та нормативно-правового акта про його утворення. </w:t>
            </w:r>
          </w:p>
          <w:p w:rsidR="00BA3F9D" w:rsidRPr="00D016C7" w:rsidRDefault="00BA3F9D" w:rsidP="00BA3F9D">
            <w:pPr>
              <w:ind w:right="152" w:firstLine="398"/>
              <w:jc w:val="both"/>
            </w:pPr>
            <w:r w:rsidRPr="004305CC">
              <w:rPr>
                <w:sz w:val="22"/>
                <w:szCs w:val="22"/>
              </w:rPr>
              <w:t xml:space="preserve">Листом </w:t>
            </w:r>
            <w:r>
              <w:rPr>
                <w:sz w:val="22"/>
                <w:szCs w:val="22"/>
              </w:rPr>
              <w:t xml:space="preserve">Мінінфраструктури </w:t>
            </w:r>
            <w:r w:rsidRPr="004305CC">
              <w:rPr>
                <w:sz w:val="22"/>
                <w:szCs w:val="22"/>
              </w:rPr>
              <w:t>від</w:t>
            </w:r>
            <w:r>
              <w:rPr>
                <w:sz w:val="22"/>
                <w:szCs w:val="22"/>
              </w:rPr>
              <w:t xml:space="preserve"> 23.09.2016 № 5514/45/14-16 проект постанови «Про утворення Державної служби залізничного транспорту України» разом з пакетом документів, включаючи проект Положення про Службу, надіслано на погодження до заінтересованих центральних органів виконавчої влади.</w:t>
            </w:r>
          </w:p>
        </w:tc>
      </w:tr>
      <w:tr w:rsidR="00D37886" w:rsidRPr="00D37886" w:rsidTr="003C5DF4">
        <w:trPr>
          <w:trHeight w:val="142"/>
          <w:tblHeader/>
        </w:trPr>
        <w:tc>
          <w:tcPr>
            <w:tcW w:w="436" w:type="dxa"/>
          </w:tcPr>
          <w:p w:rsidR="00D37886" w:rsidRPr="00D37886" w:rsidRDefault="00D37886" w:rsidP="005C1AF7">
            <w:pPr>
              <w:widowControl w:val="0"/>
              <w:autoSpaceDE w:val="0"/>
              <w:autoSpaceDN w:val="0"/>
              <w:adjustRightInd w:val="0"/>
              <w:ind w:left="-28" w:right="-28"/>
              <w:jc w:val="center"/>
              <w:rPr>
                <w:b/>
              </w:rPr>
            </w:pPr>
            <w:r w:rsidRPr="00D37886">
              <w:rPr>
                <w:b/>
                <w:sz w:val="22"/>
                <w:szCs w:val="22"/>
              </w:rPr>
              <w:t>8.</w:t>
            </w:r>
          </w:p>
        </w:tc>
        <w:tc>
          <w:tcPr>
            <w:tcW w:w="15584" w:type="dxa"/>
            <w:gridSpan w:val="5"/>
          </w:tcPr>
          <w:p w:rsidR="00D37886" w:rsidRPr="00D37886" w:rsidRDefault="00D37886" w:rsidP="00D3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07" w:right="152" w:firstLine="227"/>
              <w:jc w:val="center"/>
              <w:rPr>
                <w:b/>
              </w:rPr>
            </w:pPr>
            <w:r w:rsidRPr="00D37886">
              <w:rPr>
                <w:b/>
                <w:sz w:val="22"/>
                <w:szCs w:val="22"/>
              </w:rPr>
              <w:t>Приєднання України до Європейського авіаційного простору</w:t>
            </w:r>
          </w:p>
        </w:tc>
      </w:tr>
      <w:tr w:rsidR="00BA3F9D" w:rsidRPr="0034025A" w:rsidTr="00740A12">
        <w:trPr>
          <w:tblHeader/>
        </w:trPr>
        <w:tc>
          <w:tcPr>
            <w:tcW w:w="436" w:type="dxa"/>
          </w:tcPr>
          <w:p w:rsidR="00BA3F9D" w:rsidRPr="00B455C1" w:rsidRDefault="00BA3F9D" w:rsidP="005C1AF7">
            <w:pPr>
              <w:widowControl w:val="0"/>
              <w:autoSpaceDE w:val="0"/>
              <w:autoSpaceDN w:val="0"/>
              <w:adjustRightInd w:val="0"/>
              <w:ind w:left="-28" w:right="-28"/>
              <w:jc w:val="center"/>
            </w:pPr>
            <w:r w:rsidRPr="00B455C1">
              <w:rPr>
                <w:sz w:val="22"/>
                <w:szCs w:val="22"/>
              </w:rPr>
              <w:t>1.</w:t>
            </w:r>
          </w:p>
        </w:tc>
        <w:tc>
          <w:tcPr>
            <w:tcW w:w="3261"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Розроблення та подання Кабінетові Міністрів України проекту розпорядження Президента України про уповноваження Міністра інфраструктури Омеляна В. на підписання Угоди між Україною та ЄС про Спільний авіаційний простір</w:t>
            </w:r>
          </w:p>
        </w:tc>
        <w:tc>
          <w:tcPr>
            <w:tcW w:w="2126"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зняття бюрократичних перешкод для підписання Угоди між Україною та ЄС про Спільний авіаційний простір</w:t>
            </w:r>
          </w:p>
        </w:tc>
        <w:tc>
          <w:tcPr>
            <w:tcW w:w="1737"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Мінінфра-структури</w:t>
            </w:r>
          </w:p>
        </w:tc>
        <w:tc>
          <w:tcPr>
            <w:tcW w:w="1665" w:type="dxa"/>
          </w:tcPr>
          <w:p w:rsidR="00BA3F9D" w:rsidRPr="00AA476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761">
              <w:rPr>
                <w:sz w:val="22"/>
                <w:szCs w:val="22"/>
              </w:rPr>
              <w:t>II квартал</w:t>
            </w:r>
          </w:p>
        </w:tc>
        <w:tc>
          <w:tcPr>
            <w:tcW w:w="6795" w:type="dxa"/>
          </w:tcPr>
          <w:p w:rsidR="00BA3F9D" w:rsidRPr="00621FB0" w:rsidRDefault="00BA3F9D" w:rsidP="005C1AF7">
            <w:pPr>
              <w:ind w:left="107" w:right="152" w:firstLine="263"/>
              <w:jc w:val="both"/>
            </w:pPr>
            <w:r w:rsidRPr="00621FB0">
              <w:rPr>
                <w:sz w:val="22"/>
                <w:szCs w:val="22"/>
              </w:rPr>
              <w:t xml:space="preserve">Мінінфраструктури </w:t>
            </w:r>
            <w:r>
              <w:rPr>
                <w:sz w:val="22"/>
                <w:szCs w:val="22"/>
              </w:rPr>
              <w:t xml:space="preserve">підготовлено </w:t>
            </w:r>
            <w:r w:rsidRPr="00621FB0">
              <w:rPr>
                <w:sz w:val="22"/>
                <w:szCs w:val="22"/>
              </w:rPr>
              <w:t xml:space="preserve">відповідний пакет документів про уповноваження Міністра інфраструктури В. Омеляна на підписання Угоди між Україною та ЄС про Спільний авіаційний простір та листами від 10.05.2016 № 2615/13/14-16 та </w:t>
            </w:r>
            <w:r>
              <w:rPr>
                <w:sz w:val="22"/>
                <w:szCs w:val="22"/>
              </w:rPr>
              <w:br/>
              <w:t>№ </w:t>
            </w:r>
            <w:r w:rsidRPr="00621FB0">
              <w:rPr>
                <w:sz w:val="22"/>
                <w:szCs w:val="22"/>
              </w:rPr>
              <w:t xml:space="preserve">2616/13/14-16 </w:t>
            </w:r>
            <w:r>
              <w:rPr>
                <w:sz w:val="22"/>
                <w:szCs w:val="22"/>
              </w:rPr>
              <w:t xml:space="preserve">надіслано </w:t>
            </w:r>
            <w:r w:rsidRPr="00621FB0">
              <w:rPr>
                <w:sz w:val="22"/>
                <w:szCs w:val="22"/>
              </w:rPr>
              <w:t>на погодження до Мінсоцполітики, МЗС, Мінфіну, Мінекономрозвитку, ДФС та Антимонопольного комітету.</w:t>
            </w:r>
          </w:p>
          <w:p w:rsidR="00BA3F9D" w:rsidRDefault="00BA3F9D" w:rsidP="005C1AF7">
            <w:pPr>
              <w:ind w:left="107" w:right="152" w:firstLine="263"/>
              <w:jc w:val="both"/>
            </w:pPr>
            <w:r w:rsidRPr="00621FB0">
              <w:rPr>
                <w:sz w:val="22"/>
                <w:szCs w:val="22"/>
              </w:rPr>
              <w:t xml:space="preserve">Станом на </w:t>
            </w:r>
            <w:r>
              <w:rPr>
                <w:sz w:val="22"/>
                <w:szCs w:val="22"/>
              </w:rPr>
              <w:t>05</w:t>
            </w:r>
            <w:r w:rsidRPr="00621FB0">
              <w:rPr>
                <w:sz w:val="22"/>
                <w:szCs w:val="22"/>
              </w:rPr>
              <w:t>.0</w:t>
            </w:r>
            <w:r>
              <w:rPr>
                <w:sz w:val="22"/>
                <w:szCs w:val="22"/>
              </w:rPr>
              <w:t>7</w:t>
            </w:r>
            <w:r w:rsidRPr="00621FB0">
              <w:rPr>
                <w:sz w:val="22"/>
                <w:szCs w:val="22"/>
              </w:rPr>
              <w:t>.2016 отримано погодження від усіх заінтересованих центральних органів виконавчої влади, окрім МЗС</w:t>
            </w:r>
            <w:r>
              <w:rPr>
                <w:sz w:val="22"/>
                <w:szCs w:val="22"/>
              </w:rPr>
              <w:t>.</w:t>
            </w:r>
          </w:p>
          <w:p w:rsidR="00BA3F9D" w:rsidRPr="00E4194C" w:rsidRDefault="00BA3F9D" w:rsidP="005C1AF7">
            <w:pPr>
              <w:pStyle w:val="a3"/>
              <w:ind w:left="107" w:right="152" w:firstLine="256"/>
              <w:jc w:val="both"/>
              <w:rPr>
                <w:sz w:val="22"/>
                <w:szCs w:val="22"/>
                <w:lang w:val="uk-UA"/>
              </w:rPr>
            </w:pPr>
            <w:r w:rsidRPr="00E4194C">
              <w:rPr>
                <w:sz w:val="22"/>
                <w:szCs w:val="22"/>
                <w:lang w:val="uk-UA"/>
              </w:rPr>
              <w:t>МЗС листом від 11.07.2016 № 311/14-300-1260 поінформувало, що, зважаючи на відсутність у сторони ЄС узгодженої редакції пункту 31 «Територія» статті 2 «Визначення» про територіальне застосування зазначеної Угоди, схвалення такого проекту акта вбачається передчасним.</w:t>
            </w:r>
          </w:p>
          <w:p w:rsidR="00BA3F9D" w:rsidRPr="00AA4761" w:rsidRDefault="00BA3F9D" w:rsidP="005C1AF7">
            <w:pPr>
              <w:pStyle w:val="a3"/>
              <w:ind w:left="107" w:right="152" w:firstLine="256"/>
              <w:jc w:val="both"/>
              <w:rPr>
                <w:sz w:val="22"/>
                <w:szCs w:val="22"/>
              </w:rPr>
            </w:pPr>
            <w:r w:rsidRPr="00E4194C">
              <w:rPr>
                <w:sz w:val="22"/>
                <w:szCs w:val="22"/>
                <w:lang w:val="uk-UA"/>
              </w:rPr>
              <w:t>Мінінфраструктури листом від 29.07.2016 № 7523/13/10-16 звернулось до Віце-прем'єр-міністра із питань європейської та євроатлантичної інтеграції України Климпуш-Цинцадзе І.О. з проханням дати відповідні доручення МЗС активізувати переговорний процес щодо узгодження зі стороною ЄС редакції пункту 31 статті 2 Угоди та погодити проект Розпорядження Президента України «Про уповноваження В. Омеляна на підписання Угоди між Україною та Європейським Союзом і його державами-членами про Спільний авіаційний простір» в одноденний строк</w:t>
            </w:r>
          </w:p>
        </w:tc>
      </w:tr>
      <w:tr w:rsidR="00BA3F9D" w:rsidRPr="0034025A" w:rsidTr="00740A12">
        <w:trPr>
          <w:tblHeader/>
        </w:trPr>
        <w:tc>
          <w:tcPr>
            <w:tcW w:w="436" w:type="dxa"/>
          </w:tcPr>
          <w:p w:rsidR="00BA3F9D" w:rsidRPr="00B455C1" w:rsidRDefault="00BA3F9D" w:rsidP="005C1AF7">
            <w:pPr>
              <w:widowControl w:val="0"/>
              <w:autoSpaceDE w:val="0"/>
              <w:autoSpaceDN w:val="0"/>
              <w:adjustRightInd w:val="0"/>
              <w:ind w:left="-28" w:right="-28"/>
              <w:jc w:val="center"/>
            </w:pPr>
            <w:r w:rsidRPr="00B455C1">
              <w:rPr>
                <w:sz w:val="22"/>
                <w:szCs w:val="22"/>
              </w:rPr>
              <w:lastRenderedPageBreak/>
              <w:t>2.</w:t>
            </w:r>
          </w:p>
        </w:tc>
        <w:tc>
          <w:tcPr>
            <w:tcW w:w="3261"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Підписання Угоди між Україною та ЄС про Спільний авіаційний простір</w:t>
            </w:r>
          </w:p>
        </w:tc>
        <w:tc>
          <w:tcPr>
            <w:tcW w:w="2126"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лібералізація ринку авіаційних перевезень з ЄС, подальше технічне та технологічне удосконалення аеронавігаційної системи України, підвищення ефективності пропускної спроможності повітряного простору України в межах її відповідальності перед ІКАО</w:t>
            </w:r>
          </w:p>
        </w:tc>
        <w:tc>
          <w:tcPr>
            <w:tcW w:w="1737"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Мінінфра-структури</w:t>
            </w:r>
          </w:p>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МЗС</w:t>
            </w:r>
          </w:p>
        </w:tc>
        <w:tc>
          <w:tcPr>
            <w:tcW w:w="1665" w:type="dxa"/>
          </w:tcPr>
          <w:p w:rsidR="00BA3F9D" w:rsidRPr="0034025A"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2"/>
                <w:szCs w:val="22"/>
              </w:rPr>
              <w:t>Протягом року</w:t>
            </w:r>
          </w:p>
        </w:tc>
        <w:tc>
          <w:tcPr>
            <w:tcW w:w="6795" w:type="dxa"/>
          </w:tcPr>
          <w:p w:rsidR="00BA3F9D" w:rsidRPr="000916F4" w:rsidRDefault="00BA3F9D" w:rsidP="005C1AF7">
            <w:pPr>
              <w:pStyle w:val="1"/>
              <w:spacing w:after="0" w:line="240" w:lineRule="auto"/>
              <w:ind w:left="107" w:right="152" w:firstLine="256"/>
              <w:jc w:val="both"/>
              <w:rPr>
                <w:rFonts w:ascii="Times New Roman" w:hAnsi="Times New Roman"/>
                <w:lang w:eastAsia="ru-RU"/>
              </w:rPr>
            </w:pPr>
            <w:r w:rsidRPr="000916F4">
              <w:rPr>
                <w:rFonts w:ascii="Times New Roman" w:hAnsi="Times New Roman"/>
                <w:lang w:eastAsia="ru-RU"/>
              </w:rPr>
              <w:t xml:space="preserve">Українська сторона забезпечує виконання необхідних умов для підписання Угоди про спільний авіаційний простір між Україною та ЄС. Не вирішеним залишалось питання щодо формулювання пункту 31 </w:t>
            </w:r>
            <w:r>
              <w:rPr>
                <w:rFonts w:ascii="Times New Roman" w:hAnsi="Times New Roman"/>
                <w:lang w:eastAsia="ru-RU"/>
              </w:rPr>
              <w:t>«Т</w:t>
            </w:r>
            <w:r w:rsidRPr="000916F4">
              <w:rPr>
                <w:rFonts w:ascii="Times New Roman" w:hAnsi="Times New Roman"/>
                <w:lang w:eastAsia="ru-RU"/>
              </w:rPr>
              <w:t>ериторія</w:t>
            </w:r>
            <w:r>
              <w:rPr>
                <w:rFonts w:ascii="Times New Roman" w:hAnsi="Times New Roman"/>
                <w:lang w:eastAsia="ru-RU"/>
              </w:rPr>
              <w:t>»</w:t>
            </w:r>
            <w:r w:rsidRPr="000916F4">
              <w:rPr>
                <w:rFonts w:ascii="Times New Roman" w:hAnsi="Times New Roman"/>
                <w:lang w:eastAsia="ru-RU"/>
              </w:rPr>
              <w:t xml:space="preserve"> статті 2 Угоди про спільний авіаційний простір, у частині, що стосується компетенції ЄС. </w:t>
            </w:r>
          </w:p>
          <w:p w:rsidR="00BA3F9D" w:rsidRDefault="00BA3F9D" w:rsidP="005C1AF7">
            <w:pPr>
              <w:ind w:left="107" w:right="152" w:firstLine="263"/>
              <w:jc w:val="both"/>
            </w:pPr>
            <w:r w:rsidRPr="000916F4">
              <w:rPr>
                <w:sz w:val="22"/>
                <w:szCs w:val="22"/>
              </w:rPr>
              <w:t xml:space="preserve">Очікується, що після референдуму про вихід Великобританії з ЄС відбудуться позитивні зрушення та підписання Угоди стане можливим вже до кінця цього року. </w:t>
            </w:r>
          </w:p>
          <w:p w:rsidR="00BA3F9D" w:rsidRPr="00E4194C" w:rsidRDefault="00BA3F9D" w:rsidP="005C1AF7">
            <w:pPr>
              <w:pStyle w:val="a3"/>
              <w:ind w:left="107" w:right="152" w:firstLine="256"/>
              <w:jc w:val="both"/>
              <w:rPr>
                <w:sz w:val="22"/>
                <w:szCs w:val="22"/>
                <w:lang w:val="uk-UA"/>
              </w:rPr>
            </w:pPr>
            <w:r w:rsidRPr="00E4194C">
              <w:rPr>
                <w:sz w:val="22"/>
                <w:szCs w:val="22"/>
                <w:lang w:val="uk-UA"/>
              </w:rPr>
              <w:t>Мінінфраструктури листом від 12.05.2016 № 2661/13/14-16 звернулося до Єврокомісара з питань транспорту Європейської Комісії В. Булц з черговою пропозицією використати в Угоді формулювання в частині визначення територій, яке було застосовано стороною ЄС у Регламенті ЄС № 692/2014 від 23.06.2014 щодо обмежувальних заходів проти фізичних осіб та організацій у зв’язку з діями, які підривають та загрожують територіальній цілісності, суверенітету і незалежності України.</w:t>
            </w:r>
          </w:p>
          <w:p w:rsidR="00BA3F9D" w:rsidRPr="00E4194C" w:rsidRDefault="00BA3F9D" w:rsidP="005C1AF7">
            <w:pPr>
              <w:pStyle w:val="a3"/>
              <w:ind w:left="107" w:right="152" w:firstLine="256"/>
              <w:jc w:val="both"/>
              <w:rPr>
                <w:sz w:val="22"/>
                <w:szCs w:val="22"/>
                <w:lang w:val="uk-UA"/>
              </w:rPr>
            </w:pPr>
            <w:r w:rsidRPr="00E4194C">
              <w:rPr>
                <w:sz w:val="22"/>
                <w:szCs w:val="22"/>
                <w:lang w:val="uk-UA"/>
              </w:rPr>
              <w:t xml:space="preserve">У відповідь В. Булц у своєму листі від 19.07.2016 підтвердила важливість Угоди для Європейської Комісії, а також наголосила на докладанні зі свого боку всіх зусиль для підписання Угоди найближчим часом. </w:t>
            </w:r>
          </w:p>
          <w:p w:rsidR="00BA3F9D" w:rsidRDefault="00BA3F9D" w:rsidP="005C1AF7">
            <w:pPr>
              <w:pStyle w:val="a3"/>
              <w:ind w:left="107" w:right="152" w:firstLine="256"/>
              <w:jc w:val="both"/>
              <w:rPr>
                <w:sz w:val="22"/>
                <w:szCs w:val="22"/>
                <w:lang w:val="uk-UA"/>
              </w:rPr>
            </w:pPr>
            <w:r w:rsidRPr="00E4194C">
              <w:rPr>
                <w:sz w:val="22"/>
                <w:szCs w:val="22"/>
                <w:lang w:val="uk-UA"/>
              </w:rPr>
              <w:t>Мінінфраструктури листом від 06.07.2016 № 4420/13/14-16 звернулося до Міністра закордонних справ України Клімкіна П. з пропозицією повторно звернутися до Європейської Комісії з цього питання, а також із проханням зорієнтувати щодо наших подальших спільних дій, враховуючи результати референдуму щодо членства Великобританії в ЄС</w:t>
            </w:r>
          </w:p>
          <w:p w:rsidR="00D41F26" w:rsidRPr="00E4194C" w:rsidRDefault="00D41F26" w:rsidP="005C1AF7">
            <w:pPr>
              <w:pStyle w:val="a3"/>
              <w:ind w:left="107" w:right="152" w:firstLine="256"/>
              <w:jc w:val="both"/>
              <w:rPr>
                <w:sz w:val="22"/>
                <w:szCs w:val="22"/>
                <w:lang w:val="uk-UA"/>
              </w:rPr>
            </w:pPr>
          </w:p>
        </w:tc>
      </w:tr>
      <w:tr w:rsidR="00BA3F9D" w:rsidRPr="0034025A" w:rsidTr="00740A12">
        <w:trPr>
          <w:tblHeader/>
        </w:trPr>
        <w:tc>
          <w:tcPr>
            <w:tcW w:w="436" w:type="dxa"/>
            <w:vAlign w:val="center"/>
          </w:tcPr>
          <w:p w:rsidR="00BA3F9D" w:rsidRPr="00740A12" w:rsidRDefault="00BA3F9D" w:rsidP="005C1AF7">
            <w:pPr>
              <w:jc w:val="center"/>
              <w:rPr>
                <w:b/>
              </w:rPr>
            </w:pPr>
            <w:r w:rsidRPr="00740A12">
              <w:rPr>
                <w:b/>
                <w:sz w:val="22"/>
                <w:szCs w:val="22"/>
              </w:rPr>
              <w:t>9.</w:t>
            </w:r>
          </w:p>
        </w:tc>
        <w:tc>
          <w:tcPr>
            <w:tcW w:w="15584" w:type="dxa"/>
            <w:gridSpan w:val="5"/>
            <w:vAlign w:val="center"/>
          </w:tcPr>
          <w:p w:rsidR="00BA3F9D" w:rsidRPr="00B455C1" w:rsidRDefault="00BA3F9D" w:rsidP="005C1AF7">
            <w:pPr>
              <w:jc w:val="center"/>
            </w:pPr>
            <w:r w:rsidRPr="00B455C1">
              <w:rPr>
                <w:b/>
                <w:sz w:val="22"/>
                <w:szCs w:val="22"/>
              </w:rPr>
              <w:t>Удосконалення системи державного управління на морському і річковому транспорті України та у сфері торговельного судноплавства</w:t>
            </w:r>
          </w:p>
        </w:tc>
      </w:tr>
      <w:tr w:rsidR="00A221F5" w:rsidRPr="0034025A" w:rsidTr="00740A12">
        <w:trPr>
          <w:tblHeader/>
        </w:trPr>
        <w:tc>
          <w:tcPr>
            <w:tcW w:w="436" w:type="dxa"/>
          </w:tcPr>
          <w:p w:rsidR="00A221F5" w:rsidRPr="00B455C1" w:rsidRDefault="00A221F5" w:rsidP="005C1AF7">
            <w:pPr>
              <w:widowControl w:val="0"/>
              <w:autoSpaceDE w:val="0"/>
              <w:autoSpaceDN w:val="0"/>
              <w:adjustRightInd w:val="0"/>
              <w:ind w:left="-28" w:right="-28"/>
              <w:jc w:val="center"/>
            </w:pPr>
            <w:r w:rsidRPr="00B455C1">
              <w:rPr>
                <w:sz w:val="22"/>
                <w:szCs w:val="22"/>
              </w:rPr>
              <w:t>1.</w:t>
            </w:r>
          </w:p>
        </w:tc>
        <w:tc>
          <w:tcPr>
            <w:tcW w:w="3261" w:type="dxa"/>
          </w:tcPr>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 xml:space="preserve">Розроблення та подання Кабінетові Міністрів України проекту постанови Кабінету Міністрів України щодо створення Морської адміністрації України, розроблення відповідних </w:t>
            </w:r>
            <w:r w:rsidR="00D37886" w:rsidRPr="00B455C1">
              <w:rPr>
                <w:sz w:val="22"/>
                <w:szCs w:val="22"/>
              </w:rPr>
              <w:t>проектів нормативно-правових</w:t>
            </w:r>
            <w:r w:rsidR="00080E2C" w:rsidRPr="00B455C1">
              <w:rPr>
                <w:sz w:val="22"/>
                <w:szCs w:val="22"/>
              </w:rPr>
              <w:t xml:space="preserve"> актів щодо вирішення організаційних</w:t>
            </w:r>
            <w:r w:rsidR="00080D7F">
              <w:rPr>
                <w:sz w:val="22"/>
                <w:szCs w:val="22"/>
              </w:rPr>
              <w:t>,</w:t>
            </w:r>
          </w:p>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Pr>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утворення центрального органу виконавчої влади здійснюється Кабінетом Міністрів України</w:t>
            </w:r>
          </w:p>
        </w:tc>
        <w:tc>
          <w:tcPr>
            <w:tcW w:w="1737" w:type="dxa"/>
          </w:tcPr>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Мінінфра-структури</w:t>
            </w:r>
          </w:p>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Мінфін</w:t>
            </w:r>
          </w:p>
          <w:p w:rsidR="00A221F5" w:rsidRPr="00B455C1"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Мінеконом-розвитку</w:t>
            </w:r>
          </w:p>
        </w:tc>
        <w:tc>
          <w:tcPr>
            <w:tcW w:w="1665" w:type="dxa"/>
          </w:tcPr>
          <w:p w:rsidR="00A221F5" w:rsidRPr="009F4E8F" w:rsidRDefault="00A221F5"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4E8F">
              <w:rPr>
                <w:sz w:val="22"/>
                <w:szCs w:val="22"/>
              </w:rPr>
              <w:t>II квартал</w:t>
            </w:r>
          </w:p>
        </w:tc>
        <w:tc>
          <w:tcPr>
            <w:tcW w:w="6795" w:type="dxa"/>
          </w:tcPr>
          <w:p w:rsidR="00841073" w:rsidRDefault="00A221F5" w:rsidP="0084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sidRPr="00A221F5">
              <w:rPr>
                <w:sz w:val="22"/>
                <w:szCs w:val="22"/>
              </w:rPr>
              <w:t xml:space="preserve">Мінінфраструктури розроблено проект постанови Кабінету Міністрів України «Про </w:t>
            </w:r>
            <w:r w:rsidR="00841073">
              <w:rPr>
                <w:sz w:val="22"/>
                <w:szCs w:val="22"/>
              </w:rPr>
              <w:t>утворення Державної служби морського і річкового транспорту України».</w:t>
            </w:r>
          </w:p>
          <w:p w:rsidR="00A221F5" w:rsidRPr="00A221F5" w:rsidRDefault="00D37886" w:rsidP="0084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sidRPr="00A221F5">
              <w:rPr>
                <w:sz w:val="22"/>
                <w:szCs w:val="22"/>
              </w:rPr>
              <w:t>Реалізація постанови передбачає вдосконалення нинішньої системи державного управління на морському та річковому транспорті шляхом утворення центрального органу виконавчої влади (Морської адміністрації України), що забезпечить ефективну імплементацію міжнародних стандартів, виконання функцій з</w:t>
            </w:r>
          </w:p>
        </w:tc>
      </w:tr>
      <w:tr w:rsidR="00D37886" w:rsidRPr="0034025A" w:rsidTr="0097512F">
        <w:trPr>
          <w:trHeight w:val="1849"/>
          <w:tblHeader/>
        </w:trPr>
        <w:tc>
          <w:tcPr>
            <w:tcW w:w="436" w:type="dxa"/>
          </w:tcPr>
          <w:p w:rsidR="00D37886" w:rsidRPr="00B455C1" w:rsidRDefault="00D37886" w:rsidP="005C1AF7">
            <w:pPr>
              <w:widowControl w:val="0"/>
              <w:autoSpaceDE w:val="0"/>
              <w:autoSpaceDN w:val="0"/>
              <w:adjustRightInd w:val="0"/>
              <w:ind w:left="-28" w:right="-28"/>
              <w:jc w:val="center"/>
            </w:pPr>
          </w:p>
        </w:tc>
        <w:tc>
          <w:tcPr>
            <w:tcW w:w="3261" w:type="dxa"/>
          </w:tcPr>
          <w:p w:rsidR="00D37886" w:rsidRPr="00B455C1" w:rsidRDefault="00D37886"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кадрових, фінансових питань тощо</w:t>
            </w:r>
          </w:p>
        </w:tc>
        <w:tc>
          <w:tcPr>
            <w:tcW w:w="2126" w:type="dxa"/>
          </w:tcPr>
          <w:p w:rsidR="00D37886" w:rsidRPr="00B455C1" w:rsidRDefault="00D37886"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37" w:type="dxa"/>
          </w:tcPr>
          <w:p w:rsidR="00D37886" w:rsidRPr="00B455C1" w:rsidRDefault="00D37886"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65" w:type="dxa"/>
          </w:tcPr>
          <w:p w:rsidR="00D37886" w:rsidRPr="009F4E8F" w:rsidRDefault="00D37886"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6795" w:type="dxa"/>
          </w:tcPr>
          <w:p w:rsidR="00D37886" w:rsidRPr="00A221F5" w:rsidRDefault="00D37886" w:rsidP="00080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4" w:right="152"/>
              <w:jc w:val="both"/>
            </w:pPr>
            <w:r w:rsidRPr="00A221F5">
              <w:rPr>
                <w:sz w:val="22"/>
                <w:szCs w:val="22"/>
              </w:rPr>
              <w:t>безпеки і охорони у сфері судноплавства, захисту морського середовища, реєстрації і сертифікації суден, дипломування моряків, контролю держави порту і прапора.</w:t>
            </w:r>
          </w:p>
          <w:p w:rsidR="00D37886" w:rsidRDefault="00080E2C" w:rsidP="00A2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sidRPr="00A221F5">
              <w:rPr>
                <w:sz w:val="22"/>
                <w:szCs w:val="22"/>
              </w:rPr>
              <w:t>Відповідно до наказу Мінінфраструктури від 18.07.2016 № 245 оновлено склад робочої групи з проведення реформування системи управління морським та річковим транспортом</w:t>
            </w:r>
            <w:r w:rsidR="00841073">
              <w:rPr>
                <w:sz w:val="22"/>
                <w:szCs w:val="22"/>
              </w:rPr>
              <w:t>.</w:t>
            </w:r>
          </w:p>
          <w:p w:rsidR="00841073" w:rsidRPr="00A221F5" w:rsidRDefault="00841073" w:rsidP="00A2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Pr>
                <w:sz w:val="22"/>
                <w:szCs w:val="22"/>
              </w:rPr>
              <w:t>Станом на сьогодні проект акта листами Мінінфраструктури               від 29.09.2016 №5571/27/14-16 та від 30.09.2016 № 5590/27/14-16 направлено до заінтересованих органів виконавчої влади</w:t>
            </w:r>
          </w:p>
        </w:tc>
      </w:tr>
      <w:tr w:rsidR="00BA3F9D" w:rsidRPr="0034025A" w:rsidTr="00740A12">
        <w:trPr>
          <w:tblHeader/>
        </w:trPr>
        <w:tc>
          <w:tcPr>
            <w:tcW w:w="436" w:type="dxa"/>
          </w:tcPr>
          <w:p w:rsidR="00BA3F9D" w:rsidRPr="00B455C1" w:rsidRDefault="00BA3F9D" w:rsidP="005C1AF7">
            <w:pPr>
              <w:widowControl w:val="0"/>
              <w:autoSpaceDE w:val="0"/>
              <w:autoSpaceDN w:val="0"/>
              <w:adjustRightInd w:val="0"/>
              <w:ind w:left="-28" w:right="-28"/>
              <w:jc w:val="center"/>
            </w:pPr>
            <w:r w:rsidRPr="00B455C1">
              <w:rPr>
                <w:sz w:val="22"/>
                <w:szCs w:val="22"/>
              </w:rPr>
              <w:t>2</w:t>
            </w:r>
            <w:r>
              <w:rPr>
                <w:sz w:val="22"/>
                <w:szCs w:val="22"/>
              </w:rPr>
              <w:t>.</w:t>
            </w:r>
          </w:p>
        </w:tc>
        <w:tc>
          <w:tcPr>
            <w:tcW w:w="3261"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55C1">
              <w:rPr>
                <w:sz w:val="22"/>
                <w:szCs w:val="22"/>
              </w:rPr>
              <w:t>Затвердження Кабінетом Міністрів України Положення про Морську адміністрацію України, вирішення організаційних, кадрових, фінансових питань тощо</w:t>
            </w:r>
          </w:p>
        </w:tc>
        <w:tc>
          <w:tcPr>
            <w:tcW w:w="2126"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запровадження процедури організації роботи Морської адміністрації України</w:t>
            </w:r>
          </w:p>
        </w:tc>
        <w:tc>
          <w:tcPr>
            <w:tcW w:w="1737" w:type="dxa"/>
          </w:tcPr>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Мінінфра-структури</w:t>
            </w:r>
          </w:p>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Мінфін</w:t>
            </w:r>
          </w:p>
          <w:p w:rsidR="00BA3F9D" w:rsidRPr="00B455C1"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55C1">
              <w:rPr>
                <w:sz w:val="22"/>
                <w:szCs w:val="22"/>
              </w:rPr>
              <w:t>Мінеконом-розвитку</w:t>
            </w:r>
          </w:p>
        </w:tc>
        <w:tc>
          <w:tcPr>
            <w:tcW w:w="1665" w:type="dxa"/>
          </w:tcPr>
          <w:p w:rsidR="00BA3F9D" w:rsidRPr="009F4E8F"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4E8F">
              <w:rPr>
                <w:sz w:val="22"/>
                <w:szCs w:val="22"/>
              </w:rPr>
              <w:t>III - IV квартали</w:t>
            </w:r>
          </w:p>
        </w:tc>
        <w:tc>
          <w:tcPr>
            <w:tcW w:w="6795" w:type="dxa"/>
          </w:tcPr>
          <w:p w:rsidR="00BA3F9D" w:rsidRDefault="00BA3F9D"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sidRPr="00A221F5">
              <w:rPr>
                <w:sz w:val="22"/>
                <w:szCs w:val="22"/>
              </w:rPr>
              <w:t>Мінінфраструктури розроблено проект Положення про Державну службу України морського і річкового транспорту (Морська адміністрація), який перебуває на погодженні у структурних підрозділах апарату Міністерства</w:t>
            </w:r>
            <w:r w:rsidR="00841073">
              <w:rPr>
                <w:sz w:val="22"/>
                <w:szCs w:val="22"/>
              </w:rPr>
              <w:t>.</w:t>
            </w:r>
          </w:p>
          <w:p w:rsidR="00841073" w:rsidRPr="00A221F5" w:rsidRDefault="00841073" w:rsidP="005C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52" w:firstLine="256"/>
              <w:jc w:val="both"/>
            </w:pPr>
            <w:r>
              <w:rPr>
                <w:sz w:val="22"/>
                <w:szCs w:val="22"/>
              </w:rPr>
              <w:t>Станом на сьогодні проект акта листами Мінінфраструктури               від 29.09.2016 №5571/27/14-16 та від 30.09.2016 № 5590/27/14-16 направлено до заінтересованих органів виконавчої влади.</w:t>
            </w:r>
          </w:p>
        </w:tc>
      </w:tr>
    </w:tbl>
    <w:p w:rsidR="0099464C" w:rsidRDefault="0099464C"/>
    <w:p w:rsidR="00740A12" w:rsidRDefault="00740A12"/>
    <w:p w:rsidR="00740A12" w:rsidRDefault="00740A12"/>
    <w:p w:rsidR="00740A12" w:rsidRDefault="00740A12"/>
    <w:p w:rsidR="00740A12" w:rsidRDefault="00740A12">
      <w:bookmarkStart w:id="0" w:name="_GoBack"/>
      <w:bookmarkEnd w:id="0"/>
    </w:p>
    <w:sectPr w:rsidR="00740A12" w:rsidSect="00D37886">
      <w:headerReference w:type="default" r:id="rId8"/>
      <w:pgSz w:w="16838" w:h="11906" w:orient="landscape"/>
      <w:pgMar w:top="567"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65A" w:rsidRDefault="0010465A" w:rsidP="00210A83">
      <w:r>
        <w:separator/>
      </w:r>
    </w:p>
  </w:endnote>
  <w:endnote w:type="continuationSeparator" w:id="0">
    <w:p w:rsidR="0010465A" w:rsidRDefault="0010465A" w:rsidP="0021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65A" w:rsidRDefault="0010465A" w:rsidP="00210A83">
      <w:r>
        <w:separator/>
      </w:r>
    </w:p>
  </w:footnote>
  <w:footnote w:type="continuationSeparator" w:id="0">
    <w:p w:rsidR="0010465A" w:rsidRDefault="0010465A" w:rsidP="00210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62119"/>
      <w:docPartObj>
        <w:docPartGallery w:val="Page Numbers (Top of Page)"/>
        <w:docPartUnique/>
      </w:docPartObj>
    </w:sdtPr>
    <w:sdtEndPr/>
    <w:sdtContent>
      <w:p w:rsidR="00D37886" w:rsidRDefault="00823071">
        <w:pPr>
          <w:pStyle w:val="a5"/>
          <w:jc w:val="center"/>
        </w:pPr>
        <w:r>
          <w:fldChar w:fldCharType="begin"/>
        </w:r>
        <w:r>
          <w:instrText xml:space="preserve"> PAGE   \* MERGEFORMAT </w:instrText>
        </w:r>
        <w:r>
          <w:fldChar w:fldCharType="separate"/>
        </w:r>
        <w:r w:rsidR="00CF626E">
          <w:rPr>
            <w:noProof/>
          </w:rPr>
          <w:t>6</w:t>
        </w:r>
        <w:r>
          <w:rPr>
            <w:noProof/>
          </w:rPr>
          <w:fldChar w:fldCharType="end"/>
        </w:r>
      </w:p>
    </w:sdtContent>
  </w:sdt>
  <w:p w:rsidR="00D37886" w:rsidRDefault="00D3788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12"/>
    <w:rsid w:val="00080D7F"/>
    <w:rsid w:val="00080E2C"/>
    <w:rsid w:val="0010465A"/>
    <w:rsid w:val="0015681A"/>
    <w:rsid w:val="00210A83"/>
    <w:rsid w:val="00214CD8"/>
    <w:rsid w:val="00220ADD"/>
    <w:rsid w:val="002F5071"/>
    <w:rsid w:val="003430BD"/>
    <w:rsid w:val="004605FE"/>
    <w:rsid w:val="00574967"/>
    <w:rsid w:val="00740A12"/>
    <w:rsid w:val="00766764"/>
    <w:rsid w:val="00777996"/>
    <w:rsid w:val="007D259F"/>
    <w:rsid w:val="00823071"/>
    <w:rsid w:val="00841073"/>
    <w:rsid w:val="0097512F"/>
    <w:rsid w:val="0099464C"/>
    <w:rsid w:val="00A221F5"/>
    <w:rsid w:val="00A8119A"/>
    <w:rsid w:val="00B962DC"/>
    <w:rsid w:val="00BA3F9D"/>
    <w:rsid w:val="00BF173E"/>
    <w:rsid w:val="00CF626E"/>
    <w:rsid w:val="00D37886"/>
    <w:rsid w:val="00D41F26"/>
    <w:rsid w:val="00D906EE"/>
    <w:rsid w:val="00E26D2C"/>
    <w:rsid w:val="00E35731"/>
    <w:rsid w:val="00E86B3B"/>
    <w:rsid w:val="00E9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740A12"/>
    <w:rPr>
      <w:rFonts w:cs="Times New Roman"/>
    </w:rPr>
  </w:style>
  <w:style w:type="paragraph" w:styleId="a3">
    <w:name w:val="No Spacing"/>
    <w:uiPriority w:val="1"/>
    <w:qFormat/>
    <w:rsid w:val="00740A12"/>
    <w:pPr>
      <w:spacing w:after="0" w:line="240" w:lineRule="auto"/>
    </w:pPr>
    <w:rPr>
      <w:rFonts w:ascii="Times New Roman" w:eastAsia="Calibri" w:hAnsi="Times New Roman" w:cs="Times New Roman"/>
      <w:sz w:val="24"/>
      <w:szCs w:val="24"/>
      <w:lang w:val="ru-RU"/>
    </w:rPr>
  </w:style>
  <w:style w:type="paragraph" w:customStyle="1" w:styleId="1">
    <w:name w:val="Абзац списка1"/>
    <w:basedOn w:val="a"/>
    <w:rsid w:val="00740A12"/>
    <w:pPr>
      <w:spacing w:after="200" w:line="276" w:lineRule="auto"/>
      <w:ind w:left="720"/>
      <w:contextualSpacing/>
    </w:pPr>
    <w:rPr>
      <w:rFonts w:ascii="Calibri" w:hAnsi="Calibri"/>
      <w:sz w:val="22"/>
      <w:szCs w:val="22"/>
      <w:lang w:eastAsia="en-US"/>
    </w:rPr>
  </w:style>
  <w:style w:type="table" w:styleId="a4">
    <w:name w:val="Table Grid"/>
    <w:basedOn w:val="a1"/>
    <w:uiPriority w:val="59"/>
    <w:rsid w:val="0074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0A83"/>
    <w:pPr>
      <w:tabs>
        <w:tab w:val="center" w:pos="4819"/>
        <w:tab w:val="right" w:pos="9639"/>
      </w:tabs>
    </w:pPr>
  </w:style>
  <w:style w:type="character" w:customStyle="1" w:styleId="a6">
    <w:name w:val="Верхний колонтитул Знак"/>
    <w:basedOn w:val="a0"/>
    <w:link w:val="a5"/>
    <w:uiPriority w:val="99"/>
    <w:rsid w:val="00210A8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10A83"/>
    <w:pPr>
      <w:tabs>
        <w:tab w:val="center" w:pos="4819"/>
        <w:tab w:val="right" w:pos="9639"/>
      </w:tabs>
    </w:pPr>
  </w:style>
  <w:style w:type="character" w:customStyle="1" w:styleId="a8">
    <w:name w:val="Нижний колонтитул Знак"/>
    <w:basedOn w:val="a0"/>
    <w:link w:val="a7"/>
    <w:uiPriority w:val="99"/>
    <w:semiHidden/>
    <w:rsid w:val="00210A8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10A83"/>
    <w:rPr>
      <w:rFonts w:ascii="Tahoma" w:hAnsi="Tahoma" w:cs="Tahoma"/>
      <w:sz w:val="16"/>
      <w:szCs w:val="16"/>
    </w:rPr>
  </w:style>
  <w:style w:type="character" w:customStyle="1" w:styleId="aa">
    <w:name w:val="Текст выноски Знак"/>
    <w:basedOn w:val="a0"/>
    <w:link w:val="a9"/>
    <w:uiPriority w:val="99"/>
    <w:semiHidden/>
    <w:rsid w:val="00210A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740A12"/>
    <w:rPr>
      <w:rFonts w:cs="Times New Roman"/>
    </w:rPr>
  </w:style>
  <w:style w:type="paragraph" w:styleId="a3">
    <w:name w:val="No Spacing"/>
    <w:uiPriority w:val="1"/>
    <w:qFormat/>
    <w:rsid w:val="00740A12"/>
    <w:pPr>
      <w:spacing w:after="0" w:line="240" w:lineRule="auto"/>
    </w:pPr>
    <w:rPr>
      <w:rFonts w:ascii="Times New Roman" w:eastAsia="Calibri" w:hAnsi="Times New Roman" w:cs="Times New Roman"/>
      <w:sz w:val="24"/>
      <w:szCs w:val="24"/>
      <w:lang w:val="ru-RU"/>
    </w:rPr>
  </w:style>
  <w:style w:type="paragraph" w:customStyle="1" w:styleId="1">
    <w:name w:val="Абзац списка1"/>
    <w:basedOn w:val="a"/>
    <w:rsid w:val="00740A12"/>
    <w:pPr>
      <w:spacing w:after="200" w:line="276" w:lineRule="auto"/>
      <w:ind w:left="720"/>
      <w:contextualSpacing/>
    </w:pPr>
    <w:rPr>
      <w:rFonts w:ascii="Calibri" w:hAnsi="Calibri"/>
      <w:sz w:val="22"/>
      <w:szCs w:val="22"/>
      <w:lang w:eastAsia="en-US"/>
    </w:rPr>
  </w:style>
  <w:style w:type="table" w:styleId="a4">
    <w:name w:val="Table Grid"/>
    <w:basedOn w:val="a1"/>
    <w:uiPriority w:val="59"/>
    <w:rsid w:val="0074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0A83"/>
    <w:pPr>
      <w:tabs>
        <w:tab w:val="center" w:pos="4819"/>
        <w:tab w:val="right" w:pos="9639"/>
      </w:tabs>
    </w:pPr>
  </w:style>
  <w:style w:type="character" w:customStyle="1" w:styleId="a6">
    <w:name w:val="Верхний колонтитул Знак"/>
    <w:basedOn w:val="a0"/>
    <w:link w:val="a5"/>
    <w:uiPriority w:val="99"/>
    <w:rsid w:val="00210A8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10A83"/>
    <w:pPr>
      <w:tabs>
        <w:tab w:val="center" w:pos="4819"/>
        <w:tab w:val="right" w:pos="9639"/>
      </w:tabs>
    </w:pPr>
  </w:style>
  <w:style w:type="character" w:customStyle="1" w:styleId="a8">
    <w:name w:val="Нижний колонтитул Знак"/>
    <w:basedOn w:val="a0"/>
    <w:link w:val="a7"/>
    <w:uiPriority w:val="99"/>
    <w:semiHidden/>
    <w:rsid w:val="00210A8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10A83"/>
    <w:rPr>
      <w:rFonts w:ascii="Tahoma" w:hAnsi="Tahoma" w:cs="Tahoma"/>
      <w:sz w:val="16"/>
      <w:szCs w:val="16"/>
    </w:rPr>
  </w:style>
  <w:style w:type="character" w:customStyle="1" w:styleId="aa">
    <w:name w:val="Текст выноски Знак"/>
    <w:basedOn w:val="a0"/>
    <w:link w:val="a9"/>
    <w:uiPriority w:val="99"/>
    <w:semiHidden/>
    <w:rsid w:val="00210A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FAD96-5755-443F-B7B5-6077A004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7626</Words>
  <Characters>4348</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denshchikova</dc:creator>
  <cp:keywords/>
  <dc:description/>
  <cp:lastModifiedBy>gorbachuk</cp:lastModifiedBy>
  <cp:revision>4</cp:revision>
  <dcterms:created xsi:type="dcterms:W3CDTF">2016-11-08T12:07:00Z</dcterms:created>
  <dcterms:modified xsi:type="dcterms:W3CDTF">2016-11-08T12:21:00Z</dcterms:modified>
</cp:coreProperties>
</file>