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82" w:rsidRDefault="002F4C82" w:rsidP="002D30BB">
      <w:pPr>
        <w:spacing w:after="0" w:line="240" w:lineRule="auto"/>
        <w:ind w:left="4820" w:hanging="10"/>
      </w:pPr>
      <w:r>
        <w:t>ЗАТВЕРДЖЕНО</w:t>
      </w:r>
    </w:p>
    <w:p w:rsidR="002F4C82" w:rsidRDefault="002F4C82" w:rsidP="002D30BB">
      <w:pPr>
        <w:spacing w:after="0" w:line="240" w:lineRule="auto"/>
        <w:ind w:left="4820" w:right="99" w:hanging="10"/>
      </w:pPr>
      <w:r>
        <w:t>Наказ Міністерства інфраструктури України</w:t>
      </w:r>
    </w:p>
    <w:p w:rsidR="002F4C82" w:rsidRDefault="002D30BB" w:rsidP="002D30BB">
      <w:pPr>
        <w:spacing w:after="0" w:line="240" w:lineRule="auto"/>
        <w:ind w:left="4820" w:right="766" w:firstLine="0"/>
        <w:rPr>
          <w:lang w:val="ru-RU"/>
        </w:rPr>
      </w:pPr>
      <w:r>
        <w:rPr>
          <w:lang w:val="ru-RU"/>
        </w:rPr>
        <w:t>01 лютого 2022</w:t>
      </w:r>
      <w:r w:rsidR="009841DA">
        <w:rPr>
          <w:lang w:val="ru-RU"/>
        </w:rPr>
        <w:t xml:space="preserve">року </w:t>
      </w:r>
      <w:r w:rsidR="0023650C">
        <w:t>№ </w:t>
      </w:r>
      <w:r>
        <w:rPr>
          <w:lang w:val="ru-RU"/>
        </w:rPr>
        <w:t>65</w:t>
      </w:r>
    </w:p>
    <w:p w:rsidR="002D30BB" w:rsidRPr="002D30BB" w:rsidRDefault="002D30BB" w:rsidP="002D30BB">
      <w:pPr>
        <w:spacing w:after="0" w:line="240" w:lineRule="auto"/>
        <w:ind w:left="4820" w:right="766" w:firstLine="0"/>
        <w:rPr>
          <w:lang w:val="ru-RU"/>
        </w:rPr>
      </w:pPr>
    </w:p>
    <w:p w:rsidR="002F4C82" w:rsidRDefault="002F4C82" w:rsidP="002F4C82">
      <w:pPr>
        <w:ind w:left="16" w:right="6" w:hanging="10"/>
        <w:jc w:val="center"/>
      </w:pPr>
      <w:r>
        <w:rPr>
          <w:b/>
        </w:rPr>
        <w:t xml:space="preserve">Порядок </w:t>
      </w:r>
    </w:p>
    <w:p w:rsidR="002F4C82" w:rsidRDefault="002F4C82" w:rsidP="002F4C82">
      <w:pPr>
        <w:spacing w:after="439"/>
        <w:ind w:left="16" w:hanging="10"/>
        <w:jc w:val="center"/>
      </w:pPr>
      <w:r>
        <w:rPr>
          <w:b/>
        </w:rPr>
        <w:t>використання суб´єктами господарювання ґрунту, вилученого у результаті проведення шляхових робіт на внутрішніх водних шляхах, для виконання таких робіт</w:t>
      </w:r>
    </w:p>
    <w:p w:rsidR="002F4C82" w:rsidRDefault="002F4C82" w:rsidP="002F4C82">
      <w:pPr>
        <w:numPr>
          <w:ilvl w:val="0"/>
          <w:numId w:val="3"/>
        </w:numPr>
        <w:spacing w:after="0" w:line="240" w:lineRule="auto"/>
        <w:ind w:firstLine="709"/>
      </w:pPr>
      <w:r>
        <w:t>Цей Порядок визначає механізм використання суб´єктами господарювання ґрунту, вилученого у результаті проведення шляхових робіт на внутрішніх водних шляхах, для виконання шляхових робіт.</w:t>
      </w:r>
    </w:p>
    <w:p w:rsidR="002F4C82" w:rsidRDefault="002F4C82" w:rsidP="002F4C82">
      <w:pPr>
        <w:spacing w:after="0" w:line="240" w:lineRule="auto"/>
        <w:ind w:left="0" w:firstLine="0"/>
      </w:pPr>
    </w:p>
    <w:p w:rsidR="002F4C82" w:rsidRDefault="002F4C82" w:rsidP="002F4C82">
      <w:pPr>
        <w:numPr>
          <w:ilvl w:val="0"/>
          <w:numId w:val="3"/>
        </w:numPr>
        <w:spacing w:after="0" w:line="240" w:lineRule="auto"/>
        <w:ind w:firstLine="709"/>
      </w:pPr>
      <w:r>
        <w:t>Терміни, наведені в цьому Порядку, вживаються в значеннях, наведених у Законі України «Про внутрішній водний транспорт».</w:t>
      </w:r>
    </w:p>
    <w:p w:rsidR="002F4C82" w:rsidRDefault="002F4C82" w:rsidP="002F4C82">
      <w:pPr>
        <w:spacing w:after="0" w:line="240" w:lineRule="auto"/>
        <w:ind w:left="0" w:firstLine="0"/>
      </w:pPr>
    </w:p>
    <w:p w:rsidR="002F4C82" w:rsidRDefault="002F4C82" w:rsidP="002F4C82">
      <w:pPr>
        <w:numPr>
          <w:ilvl w:val="0"/>
          <w:numId w:val="3"/>
        </w:numPr>
        <w:spacing w:after="0" w:line="240" w:lineRule="auto"/>
        <w:ind w:firstLine="709"/>
      </w:pPr>
      <w:r>
        <w:t>Ґрунт, вилучений у результаті шляхових робіт на внутрішніх водних шляхах, може використовуватися при виконанні шляхових робіт для виконання виправних робіт.</w:t>
      </w:r>
    </w:p>
    <w:p w:rsidR="002F4C82" w:rsidRDefault="002F4C82" w:rsidP="002F4C82">
      <w:pPr>
        <w:spacing w:after="0" w:line="240" w:lineRule="auto"/>
        <w:ind w:left="0" w:firstLine="0"/>
      </w:pPr>
    </w:p>
    <w:p w:rsidR="002F4C82" w:rsidRDefault="002F4C82" w:rsidP="002F4C82">
      <w:pPr>
        <w:numPr>
          <w:ilvl w:val="0"/>
          <w:numId w:val="3"/>
        </w:numPr>
        <w:spacing w:after="0" w:line="240" w:lineRule="auto"/>
        <w:ind w:left="-15" w:firstLine="724"/>
      </w:pPr>
      <w:r>
        <w:t>До виправних робіт належать роботи зі зведення виправних споруд.</w:t>
      </w:r>
    </w:p>
    <w:p w:rsidR="002F4C82" w:rsidRPr="003A651A" w:rsidRDefault="002F4C82" w:rsidP="002F4C82">
      <w:pPr>
        <w:spacing w:after="0" w:line="240" w:lineRule="auto"/>
        <w:ind w:left="-15" w:firstLine="723"/>
      </w:pPr>
      <w:r>
        <w:t xml:space="preserve">Виправні споруди – </w:t>
      </w:r>
      <w:r w:rsidR="00C2064B">
        <w:t>це гідротехнічні</w:t>
      </w:r>
      <w:r>
        <w:t xml:space="preserve"> споруди, що утворюють спротив підмиву та ерозії берегів, руйнуючій дії водного потоку та льоду, відкладенню наносів, а також тимчасово направляють та відхиляють потік води.</w:t>
      </w:r>
    </w:p>
    <w:p w:rsidR="002F4C82" w:rsidRPr="003A651A" w:rsidRDefault="002F4C82" w:rsidP="002F4C82">
      <w:pPr>
        <w:spacing w:after="0" w:line="240" w:lineRule="auto"/>
        <w:ind w:left="-15" w:firstLine="0"/>
      </w:pPr>
    </w:p>
    <w:p w:rsidR="002F4C82" w:rsidRDefault="002F4C82" w:rsidP="002F4C82">
      <w:pPr>
        <w:numPr>
          <w:ilvl w:val="0"/>
          <w:numId w:val="3"/>
        </w:numPr>
        <w:spacing w:after="0" w:line="240" w:lineRule="auto"/>
        <w:ind w:left="-15" w:firstLine="724"/>
      </w:pPr>
      <w:r>
        <w:t xml:space="preserve">Виправні споруди в залежності від призначення повинні забезпечувати: </w:t>
      </w:r>
    </w:p>
    <w:p w:rsidR="002F4C82" w:rsidRDefault="002F4C82" w:rsidP="002F4C82">
      <w:pPr>
        <w:spacing w:after="0" w:line="240" w:lineRule="auto"/>
        <w:ind w:left="0" w:firstLine="680"/>
      </w:pPr>
      <w:r>
        <w:t>переміщення транзитних наносів, що надходять на виправну ділянку, в межах суднового ходу;</w:t>
      </w:r>
    </w:p>
    <w:p w:rsidR="002F4C82" w:rsidRDefault="002F4C82" w:rsidP="002F4C82">
      <w:pPr>
        <w:spacing w:after="0" w:line="240" w:lineRule="auto"/>
        <w:ind w:left="0" w:firstLine="680"/>
      </w:pPr>
      <w:r>
        <w:t>поглиблення дна русла у межах суднового ходу за рахунок збільшення швидкості та зміни напряму течії;</w:t>
      </w:r>
    </w:p>
    <w:p w:rsidR="002F4C82" w:rsidRDefault="002F4C82" w:rsidP="002F4C82">
      <w:pPr>
        <w:spacing w:after="0" w:line="240" w:lineRule="auto"/>
        <w:ind w:left="0" w:firstLine="680"/>
      </w:pPr>
      <w:r>
        <w:t>запобігання русловим переформуванням, що несприятливо впливають на стан суднового ходу;</w:t>
      </w:r>
    </w:p>
    <w:p w:rsidR="002F4C82" w:rsidRPr="000A6471" w:rsidRDefault="002F4C82" w:rsidP="002F4C82">
      <w:pPr>
        <w:spacing w:after="0" w:line="240" w:lineRule="auto"/>
        <w:ind w:left="0" w:firstLine="680"/>
        <w:rPr>
          <w:color w:val="auto"/>
        </w:rPr>
      </w:pPr>
      <w:r>
        <w:t xml:space="preserve">укріплення </w:t>
      </w:r>
      <w:r w:rsidRPr="000A6471">
        <w:rPr>
          <w:color w:val="auto"/>
        </w:rPr>
        <w:t>бровок судноплавного каналу чи суднового ходу для запобігання вимивання чи просідання бровок;</w:t>
      </w:r>
    </w:p>
    <w:p w:rsidR="002F4C82" w:rsidRPr="000A6471" w:rsidRDefault="002F4C82" w:rsidP="002F4C82">
      <w:pPr>
        <w:spacing w:after="0" w:line="240" w:lineRule="auto"/>
        <w:ind w:left="0" w:firstLine="680"/>
        <w:rPr>
          <w:color w:val="auto"/>
        </w:rPr>
      </w:pPr>
      <w:r w:rsidRPr="000A6471">
        <w:rPr>
          <w:color w:val="auto"/>
        </w:rPr>
        <w:t>укріплення берегів та бровок судноплавного каналу, що розмиваються під впливом течії;</w:t>
      </w:r>
    </w:p>
    <w:p w:rsidR="002F4C82" w:rsidRDefault="002F4C82" w:rsidP="002F4C82">
      <w:pPr>
        <w:spacing w:after="0" w:line="240" w:lineRule="auto"/>
        <w:ind w:left="0" w:firstLine="680"/>
      </w:pPr>
      <w:r>
        <w:t>коригування суднового ходу з метою повернення потоку води в русло, що історично склалося.</w:t>
      </w:r>
    </w:p>
    <w:p w:rsidR="002F4C82" w:rsidRDefault="002F4C82" w:rsidP="002F4C82">
      <w:pPr>
        <w:spacing w:after="0" w:line="240" w:lineRule="auto"/>
        <w:ind w:left="0" w:firstLine="680"/>
      </w:pPr>
    </w:p>
    <w:p w:rsidR="002F4C82" w:rsidRDefault="002F4C82" w:rsidP="002F4C82">
      <w:pPr>
        <w:spacing w:after="0" w:line="240" w:lineRule="auto"/>
        <w:ind w:left="0" w:firstLine="680"/>
      </w:pPr>
      <w:r w:rsidRPr="003A651A">
        <w:rPr>
          <w:lang w:val="ru-RU"/>
        </w:rPr>
        <w:t>6</w:t>
      </w:r>
      <w:r>
        <w:t xml:space="preserve">. </w:t>
      </w:r>
      <w:r>
        <w:tab/>
        <w:t xml:space="preserve">Виправні споруди поділяються на такі основні види: </w:t>
      </w:r>
    </w:p>
    <w:p w:rsidR="002F4C82" w:rsidRDefault="002F4C82" w:rsidP="002F4C82">
      <w:pPr>
        <w:spacing w:after="0" w:line="240" w:lineRule="auto"/>
        <w:ind w:left="0" w:firstLine="680"/>
      </w:pPr>
      <w:r>
        <w:t>запруди – споруди, що перекривають русло несудноплавного рукава від берега до берега;</w:t>
      </w:r>
    </w:p>
    <w:p w:rsidR="002F4C82" w:rsidRPr="000A6471" w:rsidRDefault="002F4C82" w:rsidP="002F4C82">
      <w:pPr>
        <w:spacing w:after="0" w:line="240" w:lineRule="auto"/>
        <w:ind w:left="0" w:firstLine="680"/>
        <w:rPr>
          <w:color w:val="auto"/>
        </w:rPr>
      </w:pPr>
      <w:r w:rsidRPr="000A6471">
        <w:rPr>
          <w:color w:val="auto"/>
        </w:rPr>
        <w:t>напівзапруди</w:t>
      </w:r>
      <w:r w:rsidR="002861C1" w:rsidRPr="000A6471">
        <w:rPr>
          <w:color w:val="auto"/>
        </w:rPr>
        <w:t xml:space="preserve"> –</w:t>
      </w:r>
      <w:r w:rsidRPr="000A6471">
        <w:rPr>
          <w:color w:val="auto"/>
        </w:rPr>
        <w:t xml:space="preserve">  споруди, що примикають до берега кореневою частиною, а головною частиною виступають у русло до краю суднового ходу;</w:t>
      </w:r>
    </w:p>
    <w:p w:rsidR="002F4C82" w:rsidRPr="000A6471" w:rsidRDefault="002F4C82" w:rsidP="002F4C82">
      <w:pPr>
        <w:spacing w:after="0" w:line="240" w:lineRule="auto"/>
        <w:ind w:left="0" w:firstLine="680"/>
        <w:rPr>
          <w:color w:val="auto"/>
        </w:rPr>
      </w:pPr>
      <w:r w:rsidRPr="000A6471">
        <w:rPr>
          <w:color w:val="auto"/>
        </w:rPr>
        <w:t>поздовжні (струменеправляючі) дамби - споруди, що примикають кореневою частиною до заплавного берега, побочню або осередку і направлені за течією;</w:t>
      </w:r>
    </w:p>
    <w:p w:rsidR="002F4C82" w:rsidRDefault="002F4C82" w:rsidP="002F4C82">
      <w:pPr>
        <w:spacing w:after="0" w:line="240" w:lineRule="auto"/>
        <w:ind w:left="0" w:firstLine="680"/>
      </w:pPr>
      <w:r>
        <w:t xml:space="preserve">берегоукріплювальні споруди – споруди, які зводяться для забезпечення захисту від розмиву: ділянок берега течією, руйнування яких безпосередньо призводить до небажаних змін у розташуванні суднового ходу та перешкоджає ефективній дії зведених на цій ділянці русла виправних споруд; ділянок берегової смуги, які є осередками надходження наносів у річковий потік, що відкладає їх на нижчерозташованих перехідних ділянках, внаслідок чого ускладняється судноплавство; укосів судноплавних каналів. Берегоукріплювальні споруди поділяються на підводні та надводні. Покриття берегових укосів берегоукріплювальних споруд застосовуються з метою захисту берега від розмиву та руйнування; </w:t>
      </w:r>
    </w:p>
    <w:p w:rsidR="002F4C82" w:rsidRDefault="002F4C82" w:rsidP="002F4C82">
      <w:pPr>
        <w:spacing w:after="0" w:line="240" w:lineRule="auto"/>
        <w:ind w:left="0" w:firstLine="680"/>
      </w:pPr>
      <w:r>
        <w:t>кольматуючі споруди – споруди, що встановлюються з метою підвищення позначки наносних прибережних формувань у річковому руслі та поступового заповнення наносами небажаних ємностей русла та несудноплавних рукавів. До кольматуючих споруд відносяться наскрізні, водопроникні споруди (пальові ряди, сітчасті споруди, гіллясті завіси, тинні споруди).</w:t>
      </w:r>
    </w:p>
    <w:p w:rsidR="002F4C82" w:rsidRDefault="002F4C82" w:rsidP="002F4C82">
      <w:pPr>
        <w:spacing w:after="0" w:line="240" w:lineRule="auto"/>
        <w:ind w:left="0" w:firstLine="680"/>
      </w:pPr>
    </w:p>
    <w:p w:rsidR="002F4C82" w:rsidRDefault="002F4C82" w:rsidP="002F4C82">
      <w:pPr>
        <w:spacing w:after="0" w:line="240" w:lineRule="auto"/>
        <w:ind w:left="0" w:firstLine="680"/>
      </w:pPr>
      <w:r w:rsidRPr="00430CCA">
        <w:t>7</w:t>
      </w:r>
      <w:r>
        <w:t xml:space="preserve">. </w:t>
      </w:r>
      <w:r>
        <w:tab/>
        <w:t xml:space="preserve">Крім виправних робіт </w:t>
      </w:r>
      <w:r w:rsidR="002861C1">
        <w:t>ґрунт</w:t>
      </w:r>
      <w:r>
        <w:t>, вилучений у результаті шляхових робіт на внутрішніх водних шляхах, може використовуватися для</w:t>
      </w:r>
      <w:r w:rsidR="003A7758">
        <w:t xml:space="preserve"> вишукувальних робіт, робіт з встановлення та обслуговування засобів навігаційного обладнання, піднімання </w:t>
      </w:r>
      <w:r w:rsidR="003E69D1">
        <w:t>затонулого</w:t>
      </w:r>
      <w:r w:rsidR="003A7758">
        <w:t xml:space="preserve"> майна, зокрема для:</w:t>
      </w:r>
    </w:p>
    <w:p w:rsidR="002F4C82" w:rsidRDefault="002F4C82" w:rsidP="002F4C82">
      <w:pPr>
        <w:spacing w:after="0" w:line="240" w:lineRule="auto"/>
        <w:ind w:left="0" w:firstLine="680"/>
      </w:pPr>
      <w:r>
        <w:t xml:space="preserve">засипки промоїн, що утворилися під впливом гідрологічних чи геологічних факторів; </w:t>
      </w:r>
    </w:p>
    <w:p w:rsidR="002F4C82" w:rsidRDefault="002F4C82" w:rsidP="002F4C82">
      <w:pPr>
        <w:spacing w:after="0" w:line="240" w:lineRule="auto"/>
        <w:ind w:left="0" w:firstLine="680"/>
      </w:pPr>
      <w:r>
        <w:t>установки та закріплення підводних якорів для кріплення засобів навігаційного обладнання та швартових бочок (буїв);</w:t>
      </w:r>
    </w:p>
    <w:p w:rsidR="002F4C82" w:rsidRDefault="002F4C82" w:rsidP="002F4C82">
      <w:pPr>
        <w:spacing w:after="0" w:line="240" w:lineRule="auto"/>
        <w:ind w:left="0" w:firstLine="680"/>
      </w:pPr>
      <w:r>
        <w:t>намиву відсипок для встановлення навігаційних знаків;</w:t>
      </w:r>
    </w:p>
    <w:p w:rsidR="002F4C82" w:rsidRDefault="002F4C82" w:rsidP="002F4C82">
      <w:pPr>
        <w:spacing w:after="0" w:line="240" w:lineRule="auto"/>
        <w:ind w:left="0" w:firstLine="680"/>
      </w:pPr>
      <w:r>
        <w:t xml:space="preserve">запобігання підмиву та сповзання укріплень основи гідротехнічних споруд; </w:t>
      </w:r>
    </w:p>
    <w:p w:rsidR="002F4C82" w:rsidRDefault="002F4C82" w:rsidP="002F4C82">
      <w:pPr>
        <w:spacing w:after="0" w:line="240" w:lineRule="auto"/>
        <w:ind w:left="0" w:firstLine="680"/>
      </w:pPr>
      <w:r>
        <w:t>намив</w:t>
      </w:r>
      <w:r w:rsidR="00257649">
        <w:t>у</w:t>
      </w:r>
      <w:r>
        <w:t xml:space="preserve"> ґрунту для створення основи споруд, що створюються в навігаційних цілях;</w:t>
      </w:r>
    </w:p>
    <w:p w:rsidR="002F4C82" w:rsidRDefault="002F4C82" w:rsidP="002F4C82">
      <w:pPr>
        <w:spacing w:after="0" w:line="240" w:lineRule="auto"/>
        <w:ind w:left="0" w:firstLine="680"/>
      </w:pPr>
      <w:r>
        <w:t xml:space="preserve">супутніх робіт під час піднімання затонулого майна та знятті суден з </w:t>
      </w:r>
      <w:r w:rsidR="003E69D1">
        <w:t>мілини.</w:t>
      </w:r>
    </w:p>
    <w:p w:rsidR="002F4C82" w:rsidRDefault="002F4C82" w:rsidP="002F4C82">
      <w:pPr>
        <w:spacing w:after="0" w:line="240" w:lineRule="auto"/>
        <w:ind w:left="0" w:firstLine="680"/>
      </w:pPr>
    </w:p>
    <w:p w:rsidR="00544359" w:rsidRDefault="00544359" w:rsidP="00544359">
      <w:pPr>
        <w:spacing w:after="0" w:line="240" w:lineRule="auto"/>
        <w:ind w:left="0" w:firstLine="709"/>
      </w:pPr>
      <w:r w:rsidRPr="003A651A">
        <w:t>8</w:t>
      </w:r>
      <w:r>
        <w:t xml:space="preserve">. </w:t>
      </w:r>
      <w:r>
        <w:tab/>
        <w:t>Вибір ділянок, що підлягають виправленню, визначається шляхом аналізу стану суднових ходів, багаторічних несприятливих умов судноплавства на кожній окремій ділянці внутрішніх водних шляхів та обсягу щорічного днопоглиблення.</w:t>
      </w:r>
    </w:p>
    <w:p w:rsidR="00544359" w:rsidRDefault="00544359" w:rsidP="00544359">
      <w:pPr>
        <w:spacing w:after="0" w:line="240" w:lineRule="auto"/>
        <w:ind w:left="0" w:firstLine="709"/>
      </w:pPr>
    </w:p>
    <w:p w:rsidR="00544359" w:rsidRDefault="00544359" w:rsidP="000654FA">
      <w:pPr>
        <w:spacing w:after="0" w:line="240" w:lineRule="auto"/>
        <w:ind w:left="0" w:firstLine="709"/>
      </w:pPr>
      <w:r w:rsidRPr="003A651A">
        <w:t>9</w:t>
      </w:r>
      <w:r>
        <w:t xml:space="preserve">. </w:t>
      </w:r>
      <w:r>
        <w:tab/>
        <w:t xml:space="preserve">Виправні роботи </w:t>
      </w:r>
      <w:r w:rsidR="00257649">
        <w:t xml:space="preserve">на </w:t>
      </w:r>
      <w:r>
        <w:t xml:space="preserve">кожній окремій ділянці внутрішніх водних шляхів проводяться на підставі </w:t>
      </w:r>
      <w:r w:rsidR="003E69D1">
        <w:t xml:space="preserve">річного </w:t>
      </w:r>
      <w:r>
        <w:t>плану шляхових робіт</w:t>
      </w:r>
      <w:r w:rsidRPr="00C010DF">
        <w:t xml:space="preserve">, </w:t>
      </w:r>
      <w:r w:rsidRPr="0029336C">
        <w:t xml:space="preserve">який затверджується </w:t>
      </w:r>
      <w:r w:rsidR="008068EA">
        <w:t>Адміністрацією судноплавства</w:t>
      </w:r>
      <w:r>
        <w:t>.</w:t>
      </w:r>
    </w:p>
    <w:p w:rsidR="00544359" w:rsidRDefault="00544359" w:rsidP="00544359">
      <w:pPr>
        <w:spacing w:after="0" w:line="240" w:lineRule="auto"/>
        <w:ind w:left="0" w:firstLine="709"/>
      </w:pPr>
    </w:p>
    <w:p w:rsidR="00544359" w:rsidRDefault="00544359" w:rsidP="00544359">
      <w:pPr>
        <w:spacing w:after="0" w:line="240" w:lineRule="auto"/>
        <w:ind w:left="0" w:firstLine="709"/>
      </w:pPr>
      <w:r>
        <w:t xml:space="preserve">10. </w:t>
      </w:r>
      <w:r>
        <w:tab/>
        <w:t>Використання суб’єктами господарювання ґрунту, вилученого в результаті проведення шляхових робіт, для виконання робіт</w:t>
      </w:r>
      <w:r w:rsidR="000654FA">
        <w:t xml:space="preserve">, </w:t>
      </w:r>
      <w:r>
        <w:t>що визначені у пунктах 4</w:t>
      </w:r>
      <w:r w:rsidR="00257649">
        <w:t xml:space="preserve"> –</w:t>
      </w:r>
      <w:r>
        <w:t xml:space="preserve">  8 цього Порядку, може здійснюватися за умови внесення таких робіт до</w:t>
      </w:r>
      <w:r w:rsidR="008068EA">
        <w:t xml:space="preserve"> річного</w:t>
      </w:r>
      <w:r>
        <w:t xml:space="preserve"> плану шляхових робіт.</w:t>
      </w:r>
    </w:p>
    <w:p w:rsidR="00544359" w:rsidRDefault="00544359" w:rsidP="00544359">
      <w:pPr>
        <w:spacing w:after="0" w:line="240" w:lineRule="auto"/>
        <w:ind w:left="0" w:firstLine="709"/>
      </w:pPr>
    </w:p>
    <w:p w:rsidR="00544359" w:rsidRDefault="00544359" w:rsidP="00544359">
      <w:pPr>
        <w:spacing w:after="0" w:line="240" w:lineRule="auto"/>
        <w:ind w:left="0" w:firstLine="709"/>
      </w:pPr>
      <w:r>
        <w:t>1</w:t>
      </w:r>
      <w:r>
        <w:rPr>
          <w:lang w:val="ru-RU"/>
        </w:rPr>
        <w:t>1</w:t>
      </w:r>
      <w:r>
        <w:t xml:space="preserve">. </w:t>
      </w:r>
      <w:r>
        <w:tab/>
        <w:t>Залишки ґрунту, вилученого в результаті проведення шляхових робіт та не використаного для їх виконання, можуть бути реалізовані з дотриманням вимог статті 15 Закону України «Про внутрішній водний транспорт».</w:t>
      </w:r>
    </w:p>
    <w:p w:rsidR="002F4C82" w:rsidRDefault="002F4C82" w:rsidP="002F4C82">
      <w:pPr>
        <w:ind w:left="0" w:firstLine="567"/>
      </w:pPr>
    </w:p>
    <w:p w:rsidR="002F4C82" w:rsidRDefault="002F4C82" w:rsidP="002F4C82">
      <w:pPr>
        <w:ind w:left="0" w:firstLine="567"/>
      </w:pPr>
    </w:p>
    <w:p w:rsidR="002F4C82" w:rsidRDefault="002F4C82" w:rsidP="002F4C82">
      <w:pPr>
        <w:ind w:left="0" w:firstLine="0"/>
        <w:rPr>
          <w:lang w:val="ru-RU"/>
        </w:rPr>
      </w:pPr>
      <w:r>
        <w:t xml:space="preserve">Начальник Управління </w:t>
      </w:r>
    </w:p>
    <w:p w:rsidR="002F4C82" w:rsidRDefault="002F4C82" w:rsidP="002F4C82">
      <w:pPr>
        <w:ind w:left="0" w:firstLine="0"/>
      </w:pPr>
      <w:r>
        <w:t xml:space="preserve">морського та річкового транспорту </w:t>
      </w:r>
      <w:r>
        <w:tab/>
      </w:r>
      <w:r>
        <w:tab/>
      </w:r>
      <w:r>
        <w:tab/>
        <w:t xml:space="preserve">     Ярослав ІЛЯСЕВИЧ</w:t>
      </w:r>
    </w:p>
    <w:p w:rsidR="002F4C82" w:rsidRDefault="002F4C82" w:rsidP="002F4C82">
      <w:pPr>
        <w:ind w:left="0" w:firstLine="567"/>
        <w:jc w:val="center"/>
      </w:pPr>
    </w:p>
    <w:p w:rsidR="002F4C82" w:rsidRDefault="002F4C82" w:rsidP="002F4C82">
      <w:pPr>
        <w:ind w:left="0" w:firstLine="567"/>
        <w:jc w:val="center"/>
      </w:pPr>
    </w:p>
    <w:p w:rsidR="002F4C82" w:rsidRDefault="002F4C82" w:rsidP="002F4C82">
      <w:pPr>
        <w:ind w:left="0" w:firstLine="567"/>
        <w:jc w:val="center"/>
      </w:pPr>
    </w:p>
    <w:p w:rsidR="002F4C82" w:rsidRDefault="002F4C82" w:rsidP="002F4C82"/>
    <w:p w:rsidR="002F4C82" w:rsidRDefault="002F4C82" w:rsidP="002F4C82">
      <w:pPr>
        <w:ind w:left="0" w:firstLine="567"/>
        <w:jc w:val="center"/>
      </w:pPr>
    </w:p>
    <w:p w:rsidR="00B84253" w:rsidRPr="002F4C82" w:rsidRDefault="00B84253" w:rsidP="002F4C82"/>
    <w:sectPr w:rsidR="00B84253" w:rsidRPr="002F4C82" w:rsidSect="00B708A3">
      <w:headerReference w:type="default" r:id="rId8"/>
      <w:pgSz w:w="11906" w:h="16838"/>
      <w:pgMar w:top="752" w:right="850" w:bottom="1134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2EF" w:rsidRDefault="00FB72EF">
      <w:pPr>
        <w:spacing w:after="0" w:line="240" w:lineRule="auto"/>
      </w:pPr>
      <w:r>
        <w:separator/>
      </w:r>
    </w:p>
  </w:endnote>
  <w:endnote w:type="continuationSeparator" w:id="1">
    <w:p w:rsidR="00FB72EF" w:rsidRDefault="00FB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2EF" w:rsidRDefault="00FB72EF">
      <w:pPr>
        <w:spacing w:after="0" w:line="240" w:lineRule="auto"/>
      </w:pPr>
      <w:r>
        <w:separator/>
      </w:r>
    </w:p>
  </w:footnote>
  <w:footnote w:type="continuationSeparator" w:id="1">
    <w:p w:rsidR="00FB72EF" w:rsidRDefault="00FB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0674290"/>
      <w:docPartObj>
        <w:docPartGallery w:val="Page Numbers (Top of Page)"/>
        <w:docPartUnique/>
      </w:docPartObj>
    </w:sdtPr>
    <w:sdtContent>
      <w:p w:rsidR="00922E18" w:rsidRDefault="004E5809" w:rsidP="00490625">
        <w:pPr>
          <w:pStyle w:val="a4"/>
          <w:ind w:left="4395" w:firstLine="71"/>
        </w:pPr>
        <w:r>
          <w:fldChar w:fldCharType="begin"/>
        </w:r>
        <w:r w:rsidR="00922E18">
          <w:instrText>PAGE   \* MERGEFORMAT</w:instrText>
        </w:r>
        <w:r>
          <w:fldChar w:fldCharType="separate"/>
        </w:r>
        <w:r w:rsidR="002D6D90" w:rsidRPr="002D6D90">
          <w:rPr>
            <w:noProof/>
            <w:lang w:val="ru-RU"/>
          </w:rPr>
          <w:t>2</w:t>
        </w:r>
        <w:r>
          <w:fldChar w:fldCharType="end"/>
        </w:r>
      </w:p>
    </w:sdtContent>
  </w:sdt>
  <w:p w:rsidR="000A7806" w:rsidRDefault="00FB72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D3E30"/>
    <w:multiLevelType w:val="hybridMultilevel"/>
    <w:tmpl w:val="061A505A"/>
    <w:lvl w:ilvl="0" w:tplc="E0666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949E5E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16B50C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D46146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44A5AE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163F8E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C4FD70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5840B2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EAB1BA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E92EEE"/>
    <w:multiLevelType w:val="hybridMultilevel"/>
    <w:tmpl w:val="502AB90C"/>
    <w:lvl w:ilvl="0" w:tplc="9678E30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82A6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C0042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8BE6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E565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8664D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6864D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0E1BF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F82D1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3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3419"/>
    <w:rsid w:val="00023419"/>
    <w:rsid w:val="000654FA"/>
    <w:rsid w:val="000A6471"/>
    <w:rsid w:val="000B08BC"/>
    <w:rsid w:val="001008CA"/>
    <w:rsid w:val="001108D7"/>
    <w:rsid w:val="0019554A"/>
    <w:rsid w:val="00213C79"/>
    <w:rsid w:val="0023650C"/>
    <w:rsid w:val="00257649"/>
    <w:rsid w:val="002861C1"/>
    <w:rsid w:val="002D30BB"/>
    <w:rsid w:val="002D6D90"/>
    <w:rsid w:val="002F4C82"/>
    <w:rsid w:val="003A7758"/>
    <w:rsid w:val="003E69D1"/>
    <w:rsid w:val="00430CCA"/>
    <w:rsid w:val="00490625"/>
    <w:rsid w:val="004E5809"/>
    <w:rsid w:val="00544359"/>
    <w:rsid w:val="00594F75"/>
    <w:rsid w:val="005D0C99"/>
    <w:rsid w:val="00612136"/>
    <w:rsid w:val="00672682"/>
    <w:rsid w:val="00703116"/>
    <w:rsid w:val="0071543E"/>
    <w:rsid w:val="007F6E5D"/>
    <w:rsid w:val="008068EA"/>
    <w:rsid w:val="008307A5"/>
    <w:rsid w:val="00893F7D"/>
    <w:rsid w:val="00922E18"/>
    <w:rsid w:val="00923AE6"/>
    <w:rsid w:val="0093105F"/>
    <w:rsid w:val="009841DA"/>
    <w:rsid w:val="00A5386D"/>
    <w:rsid w:val="00B84253"/>
    <w:rsid w:val="00C030AE"/>
    <w:rsid w:val="00C2064B"/>
    <w:rsid w:val="00C34DB4"/>
    <w:rsid w:val="00C85BA1"/>
    <w:rsid w:val="00CA0C2A"/>
    <w:rsid w:val="00ED3162"/>
    <w:rsid w:val="00F64967"/>
    <w:rsid w:val="00FB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16"/>
    <w:pPr>
      <w:spacing w:after="11" w:line="267" w:lineRule="auto"/>
      <w:ind w:left="3190" w:hanging="57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8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4C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C82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922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2E18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A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647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4347-2279-4CDA-9939-DA912489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e-Docs</dc:creator>
  <cp:lastModifiedBy>Алла</cp:lastModifiedBy>
  <cp:revision>2</cp:revision>
  <dcterms:created xsi:type="dcterms:W3CDTF">2022-03-22T18:55:00Z</dcterms:created>
  <dcterms:modified xsi:type="dcterms:W3CDTF">2022-03-22T18:55:00Z</dcterms:modified>
</cp:coreProperties>
</file>