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85" w:rsidRDefault="00922F0D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051F85" w:rsidRDefault="00922F0D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051F85" w:rsidRDefault="00922F0D">
      <w:pPr>
        <w:ind w:left="5245" w:firstLine="0"/>
        <w:jc w:val="left"/>
      </w:pPr>
      <w:r>
        <w:rPr>
          <w:color w:val="000000"/>
        </w:rPr>
        <w:t>від «</w:t>
      </w:r>
      <w:r w:rsidR="005F6BF1">
        <w:rPr>
          <w:color w:val="000000"/>
        </w:rPr>
        <w:t>02</w:t>
      </w:r>
      <w:r>
        <w:rPr>
          <w:color w:val="000000"/>
        </w:rPr>
        <w:t xml:space="preserve">» </w:t>
      </w:r>
      <w:r w:rsidR="005F6BF1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5F6BF1">
        <w:rPr>
          <w:color w:val="000000"/>
        </w:rPr>
        <w:t>200</w:t>
      </w:r>
      <w:bookmarkStart w:id="0" w:name="_GoBack"/>
      <w:bookmarkEnd w:id="0"/>
    </w:p>
    <w:p w:rsidR="00051F85" w:rsidRDefault="00051F85">
      <w:pPr>
        <w:ind w:left="5670" w:firstLine="0"/>
        <w:jc w:val="center"/>
        <w:rPr>
          <w:b/>
          <w:color w:val="000000"/>
        </w:rPr>
      </w:pPr>
    </w:p>
    <w:p w:rsidR="00051F85" w:rsidRDefault="00922F0D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051F85" w:rsidRDefault="00922F0D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«В» – </w:t>
      </w:r>
      <w:r>
        <w:rPr>
          <w:b/>
          <w:bCs/>
          <w:lang w:eastAsia="ru-RU"/>
        </w:rPr>
        <w:t>головного спеціаліста відділу взаємодії з Верховною Радою України Юридичного департаменту</w:t>
      </w:r>
    </w:p>
    <w:p w:rsidR="00051F85" w:rsidRDefault="00051F85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6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82"/>
        <w:gridCol w:w="2412"/>
        <w:gridCol w:w="6674"/>
      </w:tblGrid>
      <w:tr w:rsidR="00051F85">
        <w:trPr>
          <w:trHeight w:val="252"/>
        </w:trPr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F85" w:rsidRDefault="00922F0D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051F85">
        <w:trPr>
          <w:trHeight w:val="743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pStyle w:val="af6"/>
              <w:numPr>
                <w:ilvl w:val="0"/>
                <w:numId w:val="2"/>
              </w:numPr>
              <w:ind w:left="283" w:right="113" w:firstLine="0"/>
              <w:jc w:val="both"/>
            </w:pPr>
            <w:r>
              <w:rPr>
                <w:color w:val="333333"/>
                <w:shd w:val="clear" w:color="auto" w:fill="FFFFFF"/>
              </w:rPr>
              <w:t>забезпечення виконання доручених завдань та планів роботи відділу;</w:t>
            </w:r>
          </w:p>
          <w:p w:rsidR="00051F85" w:rsidRDefault="00922F0D">
            <w:pPr>
              <w:pStyle w:val="af6"/>
              <w:numPr>
                <w:ilvl w:val="0"/>
                <w:numId w:val="2"/>
              </w:numPr>
              <w:ind w:left="283" w:right="113" w:firstLine="57"/>
              <w:jc w:val="both"/>
            </w:pPr>
            <w:r>
              <w:rPr>
                <w:color w:val="333333"/>
                <w:shd w:val="clear" w:color="auto" w:fill="FFFFFF"/>
              </w:rPr>
              <w:t xml:space="preserve">забезпечення здійснення взаємодії керівництва Міністерства та інших посадових осіб апарату Міністерства з Верховною Радою України під час проходження </w:t>
            </w:r>
            <w:proofErr w:type="spellStart"/>
            <w:r>
              <w:rPr>
                <w:color w:val="333333"/>
                <w:shd w:val="clear" w:color="auto" w:fill="FFFFFF"/>
              </w:rPr>
              <w:t>проєк</w:t>
            </w:r>
            <w:bookmarkStart w:id="1" w:name="_GoBack1"/>
            <w:bookmarkEnd w:id="1"/>
            <w:r>
              <w:rPr>
                <w:color w:val="333333"/>
                <w:shd w:val="clear" w:color="auto" w:fill="FFFFFF"/>
              </w:rPr>
              <w:t>тів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законів та їх прийняття, розроблених Міністерством та внесених на розгляд Верховної Ради України суб’єктами права законодавчої ініціативи;</w:t>
            </w:r>
          </w:p>
          <w:p w:rsidR="00051F85" w:rsidRDefault="00922F0D">
            <w:pPr>
              <w:pStyle w:val="af6"/>
              <w:numPr>
                <w:ilvl w:val="0"/>
                <w:numId w:val="2"/>
              </w:numPr>
              <w:ind w:left="340" w:right="113" w:firstLine="170"/>
              <w:jc w:val="both"/>
            </w:pPr>
            <w:r>
              <w:rPr>
                <w:color w:val="333333"/>
                <w:shd w:val="clear" w:color="auto" w:fill="FFFFFF"/>
              </w:rPr>
              <w:t>здійснення аналітичної та організаційної роботи з підготовки структурними підрозділами апарату Міністерства доповідей, довідок, висновків, зауважень, аналітичних та інформаційно-довідкових матеріалів з питань, які віднесено до порядку денного пленарних засідань Верховної Ради України, комітетів Верховної Ради України, комісій, депутатських фракцій (груп) Верховної Ради України;</w:t>
            </w:r>
          </w:p>
          <w:p w:rsidR="00051F85" w:rsidRDefault="00922F0D">
            <w:pPr>
              <w:pStyle w:val="af6"/>
              <w:numPr>
                <w:ilvl w:val="0"/>
                <w:numId w:val="2"/>
              </w:numPr>
              <w:ind w:left="340" w:right="113" w:firstLine="0"/>
              <w:jc w:val="both"/>
            </w:pPr>
            <w:r>
              <w:rPr>
                <w:color w:val="333333"/>
                <w:shd w:val="clear" w:color="auto" w:fill="FFFFFF"/>
              </w:rPr>
              <w:t xml:space="preserve">опрацювання </w:t>
            </w:r>
            <w:proofErr w:type="spellStart"/>
            <w:r>
              <w:rPr>
                <w:color w:val="333333"/>
                <w:shd w:val="clear" w:color="auto" w:fill="FFFFFF"/>
              </w:rPr>
              <w:t>проєктів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листів-відповідей на запити (звернення) народних депутатів України, Комітетів Верховної Ради України підготовлені структурними підрозділами апарату Міністерства.</w:t>
            </w:r>
          </w:p>
          <w:p w:rsidR="00051F85" w:rsidRDefault="00051F85">
            <w:pPr>
              <w:tabs>
                <w:tab w:val="left" w:pos="470"/>
              </w:tabs>
              <w:spacing w:after="60"/>
              <w:ind w:left="777" w:right="125" w:firstLine="0"/>
            </w:pPr>
          </w:p>
        </w:tc>
      </w:tr>
      <w:tr w:rsidR="00051F85">
        <w:trPr>
          <w:trHeight w:val="2586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Умови оплати праці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tabs>
                <w:tab w:val="left" w:pos="612"/>
              </w:tabs>
              <w:spacing w:after="20"/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посадовий оклад – 10 600 грн.;</w:t>
            </w:r>
          </w:p>
          <w:p w:rsidR="00051F85" w:rsidRDefault="00922F0D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051F85" w:rsidRDefault="00922F0D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051F85">
        <w:trPr>
          <w:trHeight w:val="1077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051F85" w:rsidRDefault="00922F0D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051F85">
        <w:trPr>
          <w:trHeight w:val="601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051F85" w:rsidRDefault="00922F0D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051F85" w:rsidRDefault="00922F0D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051F85" w:rsidRDefault="00922F0D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051F85" w:rsidRDefault="00922F0D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051F85" w:rsidRDefault="00922F0D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051F85" w:rsidRDefault="00922F0D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051F85" w:rsidRDefault="00922F0D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051F85" w:rsidRDefault="00051F85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2" w:name="n346"/>
            <w:bookmarkStart w:id="3" w:name="n1334"/>
            <w:bookmarkStart w:id="4" w:name="n343"/>
            <w:bookmarkStart w:id="5" w:name="n1331"/>
            <w:bookmarkEnd w:id="2"/>
            <w:bookmarkEnd w:id="3"/>
            <w:bookmarkEnd w:id="4"/>
            <w:bookmarkEnd w:id="5"/>
          </w:p>
          <w:p w:rsidR="00051F85" w:rsidRDefault="00922F0D" w:rsidP="000F2EFA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rPr>
                <w:color w:val="000000"/>
              </w:rPr>
              <w:t>Інформація приймається до 1</w:t>
            </w:r>
            <w:r w:rsidR="000F2EFA" w:rsidRPr="005F6BF1"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2021 року. </w:t>
            </w:r>
            <w:r>
              <w:t xml:space="preserve"> </w:t>
            </w:r>
          </w:p>
        </w:tc>
      </w:tr>
      <w:tr w:rsidR="00051F85">
        <w:trPr>
          <w:trHeight w:val="131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Додаткові (необов’язкові) документи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051F85">
        <w:trPr>
          <w:trHeight w:val="131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051F85" w:rsidRDefault="00922F0D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051F85" w:rsidRDefault="00922F0D">
            <w:pPr>
              <w:ind w:left="127" w:right="126" w:firstLine="0"/>
              <w:jc w:val="left"/>
              <w:rPr>
                <w:color w:val="000000"/>
              </w:rPr>
            </w:pPr>
            <w:r>
              <w:lastRenderedPageBreak/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lastRenderedPageBreak/>
              <w:t>16 квітня 2021 року 10 год. 00 хв.</w:t>
            </w:r>
          </w:p>
          <w:p w:rsidR="00051F85" w:rsidRDefault="00051F8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51F85" w:rsidRDefault="00051F8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51F85" w:rsidRDefault="00922F0D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051F85" w:rsidRDefault="00051F8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51F85" w:rsidRDefault="00051F8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051F85">
        <w:trPr>
          <w:trHeight w:val="131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27" w:right="126" w:firstLine="0"/>
            </w:pPr>
            <w:r>
              <w:rPr>
                <w:color w:val="00000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051F85">
        <w:trPr>
          <w:trHeight w:val="217"/>
        </w:trPr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051F85">
        <w:trPr>
          <w:trHeight w:val="27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pStyle w:val="af7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051F85">
        <w:trPr>
          <w:trHeight w:val="131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pStyle w:val="af7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</w:tr>
      <w:tr w:rsidR="00051F85">
        <w:trPr>
          <w:trHeight w:val="5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051F85">
        <w:trPr>
          <w:trHeight w:val="530"/>
        </w:trPr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B66EC4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922F0D">
                <w:rPr>
                  <w:rStyle w:val="ListLabel92"/>
                </w:rPr>
                <w:t>Вимоги до компетентності</w:t>
              </w:r>
            </w:hyperlink>
          </w:p>
        </w:tc>
      </w:tr>
      <w:tr w:rsidR="00051F85">
        <w:trPr>
          <w:trHeight w:val="53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051F85">
        <w:trPr>
          <w:trHeight w:val="5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ind w:right="106" w:firstLine="0"/>
            </w:pPr>
            <w:r>
              <w:rPr>
                <w:color w:val="000000"/>
              </w:rPr>
              <w:t>Аналітичні здібності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widowControl w:val="0"/>
              <w:numPr>
                <w:ilvl w:val="0"/>
                <w:numId w:val="2"/>
              </w:numPr>
              <w:tabs>
                <w:tab w:val="left" w:pos="282"/>
              </w:tabs>
              <w:ind w:left="178" w:right="272" w:firstLine="1"/>
            </w:pPr>
            <w:r>
              <w:rPr>
                <w:color w:val="000000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051F85" w:rsidRDefault="00922F0D">
            <w:pPr>
              <w:widowControl w:val="0"/>
              <w:numPr>
                <w:ilvl w:val="0"/>
                <w:numId w:val="2"/>
              </w:numPr>
              <w:tabs>
                <w:tab w:val="left" w:pos="430"/>
                <w:tab w:val="left" w:pos="431"/>
                <w:tab w:val="left" w:pos="1476"/>
                <w:tab w:val="left" w:pos="3509"/>
              </w:tabs>
              <w:ind w:left="178" w:right="272" w:firstLine="1"/>
            </w:pPr>
            <w:r>
              <w:rPr>
                <w:color w:val="000000"/>
              </w:rPr>
              <w:t>вміння встановлювати причинно-наслідкові зв’язки;</w:t>
            </w:r>
          </w:p>
          <w:p w:rsidR="00051F85" w:rsidRDefault="00922F0D">
            <w:pPr>
              <w:widowControl w:val="0"/>
              <w:numPr>
                <w:ilvl w:val="0"/>
                <w:numId w:val="2"/>
              </w:numP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ind w:left="178" w:right="272" w:firstLine="1"/>
            </w:pPr>
            <w:r>
              <w:rPr>
                <w:color w:val="000000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051F85">
        <w:trPr>
          <w:trHeight w:val="530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ind w:firstLine="0"/>
            </w:pPr>
            <w:r>
              <w:t>Досягнення результатів</w:t>
            </w:r>
          </w:p>
        </w:tc>
        <w:tc>
          <w:tcPr>
            <w:tcW w:w="6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pStyle w:val="af8"/>
              <w:numPr>
                <w:ilvl w:val="0"/>
                <w:numId w:val="1"/>
              </w:numPr>
              <w:ind w:left="127" w:right="125" w:firstLine="141"/>
            </w:pPr>
            <w:r>
              <w:t>здатність до чіткого бачення результату діяльності;</w:t>
            </w:r>
          </w:p>
          <w:p w:rsidR="00051F85" w:rsidRDefault="00922F0D">
            <w:pPr>
              <w:pStyle w:val="af8"/>
              <w:numPr>
                <w:ilvl w:val="0"/>
                <w:numId w:val="1"/>
              </w:numPr>
              <w:ind w:left="127" w:right="125" w:firstLine="141"/>
            </w:pPr>
            <w:r>
              <w:t>вміння фокусувати зусилля для досягнення результату діяльності;</w:t>
            </w:r>
          </w:p>
          <w:p w:rsidR="00051F85" w:rsidRDefault="00922F0D">
            <w:pPr>
              <w:pStyle w:val="af8"/>
              <w:numPr>
                <w:ilvl w:val="0"/>
                <w:numId w:val="1"/>
              </w:numPr>
              <w:ind w:left="127" w:right="125" w:firstLine="141"/>
            </w:pPr>
            <w:r>
              <w:lastRenderedPageBreak/>
              <w:t>вміння запобігати та ефективно долати перешкоди</w:t>
            </w:r>
          </w:p>
        </w:tc>
      </w:tr>
      <w:tr w:rsidR="00051F85">
        <w:trPr>
          <w:trHeight w:val="5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18" w:firstLine="0"/>
              <w:jc w:val="left"/>
            </w:pPr>
            <w:r>
              <w:lastRenderedPageBreak/>
              <w:t>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ind w:right="106" w:firstLine="0"/>
            </w:pPr>
            <w:r>
              <w:rPr>
                <w:color w:val="000000"/>
              </w:rPr>
              <w:t>Обґрунтування власної позиції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178" w:right="272" w:firstLine="1"/>
            </w:pPr>
            <w:r>
              <w:rPr>
                <w:color w:val="000000"/>
              </w:rPr>
              <w:t>здатність правильно розставляти акценти та аргументувати позицію;</w:t>
            </w:r>
          </w:p>
          <w:p w:rsidR="00051F85" w:rsidRDefault="00922F0D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ind w:left="178" w:right="272" w:firstLine="1"/>
            </w:pPr>
            <w:r>
              <w:rPr>
                <w:color w:val="000000"/>
              </w:rPr>
              <w:t>вміння правильно формулювати тези;</w:t>
            </w:r>
          </w:p>
          <w:p w:rsidR="00051F85" w:rsidRDefault="00922F0D">
            <w:pPr>
              <w:widowControl w:val="0"/>
              <w:numPr>
                <w:ilvl w:val="0"/>
                <w:numId w:val="2"/>
              </w:numPr>
              <w:tabs>
                <w:tab w:val="left" w:pos="445"/>
                <w:tab w:val="left" w:pos="446"/>
                <w:tab w:val="left" w:pos="1507"/>
                <w:tab w:val="left" w:pos="3788"/>
                <w:tab w:val="left" w:pos="5160"/>
              </w:tabs>
              <w:ind w:left="178" w:right="272" w:firstLine="1"/>
            </w:pPr>
            <w:r>
              <w:rPr>
                <w:color w:val="000000"/>
              </w:rPr>
              <w:t>вміння використовувати прийоми, методи порівняння і узагальнення, доведення аргументів прикладами</w:t>
            </w:r>
          </w:p>
        </w:tc>
      </w:tr>
      <w:tr w:rsidR="00051F85">
        <w:trPr>
          <w:trHeight w:val="530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4.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 xml:space="preserve">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051F85" w:rsidRDefault="00922F0D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51F85" w:rsidRDefault="00922F0D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051F85">
        <w:trPr>
          <w:trHeight w:val="530"/>
        </w:trPr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051F85">
        <w:trPr>
          <w:trHeight w:val="53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051F85">
        <w:trPr>
          <w:trHeight w:val="5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051F85" w:rsidRDefault="00922F0D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051F85" w:rsidRDefault="00922F0D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051F85" w:rsidRDefault="00922F0D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запобігання корупції»</w:t>
            </w:r>
          </w:p>
          <w:p w:rsidR="00051F85" w:rsidRDefault="00922F0D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051F85">
        <w:trPr>
          <w:trHeight w:val="53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firstLine="0"/>
              <w:jc w:val="center"/>
            </w:pPr>
            <w:r>
              <w:t>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spacing w:after="20"/>
              <w:ind w:firstLine="0"/>
              <w:jc w:val="left"/>
              <w:rPr>
                <w:b/>
              </w:rPr>
            </w:pPr>
            <w:r>
              <w:t>Знання законодавства у сфері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tabs>
                <w:tab w:val="left" w:pos="522"/>
              </w:tabs>
              <w:spacing w:after="20"/>
              <w:ind w:left="135" w:right="125" w:firstLine="285"/>
            </w:pPr>
            <w:r>
              <w:t xml:space="preserve">Знання законодавства у сферах автомобільного, залізничного, морського та річкового транспорту, надання послуг поштового зв’язку, а також у сфері авіаційного транспорту та використання повітряного простору України, розвитку, будівництва, реконструкції та модернізації інфраструктури авіаційного, морського та річкового транспорту, дорожнього господарства, </w:t>
            </w:r>
            <w:proofErr w:type="spellStart"/>
            <w:r>
              <w:t>навігаційно</w:t>
            </w:r>
            <w:proofErr w:type="spellEnd"/>
            <w:r>
              <w:t>-гідрографічного забезпечення судноплавства, торговельного мореплавства, з питань безпеки на автомобільному транспорті загального користування, міському електричному, залізничному, морському та річковому транспорті, а також державного нагляду (контролю) за безпекою на автомобільному транспорті загального користування, міському електричному, залізничному, морському та річковому транспорті (крім сфери безпеки мореплавства суден флоту рибної промисловості).</w:t>
            </w:r>
          </w:p>
        </w:tc>
      </w:tr>
      <w:tr w:rsidR="00051F85">
        <w:trPr>
          <w:trHeight w:val="530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spacing w:after="20"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F85" w:rsidRDefault="00922F0D">
            <w:pPr>
              <w:spacing w:after="20"/>
              <w:ind w:firstLine="0"/>
            </w:pPr>
            <w:r>
              <w:t>Знання правової основи діяльності Верховної Ради України та народних депутатів України</w:t>
            </w:r>
          </w:p>
        </w:tc>
        <w:tc>
          <w:tcPr>
            <w:tcW w:w="6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85" w:rsidRDefault="00922F0D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Знання:</w:t>
            </w:r>
          </w:p>
          <w:p w:rsidR="00051F85" w:rsidRDefault="00922F0D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Закон України «Про Регламент Верховної Ради України»;</w:t>
            </w:r>
          </w:p>
          <w:p w:rsidR="00051F85" w:rsidRDefault="00922F0D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 xml:space="preserve">Закон України «Про статус народного депутата України»; </w:t>
            </w:r>
          </w:p>
          <w:p w:rsidR="00051F85" w:rsidRDefault="00922F0D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Закону України «Про Комітети Верховної Ради України».</w:t>
            </w:r>
          </w:p>
        </w:tc>
      </w:tr>
    </w:tbl>
    <w:p w:rsidR="00051F85" w:rsidRDefault="00051F85">
      <w:pPr>
        <w:ind w:firstLine="0"/>
        <w:jc w:val="left"/>
      </w:pPr>
    </w:p>
    <w:p w:rsidR="00051F85" w:rsidRDefault="00051F85">
      <w:pPr>
        <w:ind w:left="5669" w:right="13" w:firstLine="0"/>
        <w:jc w:val="left"/>
      </w:pPr>
    </w:p>
    <w:p w:rsidR="00051F85" w:rsidRDefault="00051F85">
      <w:pPr>
        <w:ind w:firstLine="0"/>
        <w:jc w:val="center"/>
      </w:pPr>
    </w:p>
    <w:sectPr w:rsidR="00051F85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C4" w:rsidRDefault="00B66EC4">
      <w:r>
        <w:separator/>
      </w:r>
    </w:p>
  </w:endnote>
  <w:endnote w:type="continuationSeparator" w:id="0">
    <w:p w:rsidR="00B66EC4" w:rsidRDefault="00B6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C4" w:rsidRDefault="00B66EC4">
      <w:r>
        <w:separator/>
      </w:r>
    </w:p>
  </w:footnote>
  <w:footnote w:type="continuationSeparator" w:id="0">
    <w:p w:rsidR="00B66EC4" w:rsidRDefault="00B6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85" w:rsidRDefault="00922F0D">
    <w:pPr>
      <w:jc w:val="center"/>
    </w:pPr>
    <w:r>
      <w:fldChar w:fldCharType="begin"/>
    </w:r>
    <w:r>
      <w:instrText>PAGE</w:instrText>
    </w:r>
    <w:r>
      <w:fldChar w:fldCharType="separate"/>
    </w:r>
    <w:r w:rsidR="005F6BF1">
      <w:rPr>
        <w:noProof/>
      </w:rPr>
      <w:t>5</w:t>
    </w:r>
    <w:r>
      <w:fldChar w:fldCharType="end"/>
    </w:r>
  </w:p>
  <w:p w:rsidR="00051F85" w:rsidRDefault="00051F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C5855"/>
    <w:multiLevelType w:val="multilevel"/>
    <w:tmpl w:val="DC38DAD6"/>
    <w:lvl w:ilvl="0">
      <w:start w:val="3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630773"/>
    <w:multiLevelType w:val="multilevel"/>
    <w:tmpl w:val="FAFE7A8E"/>
    <w:lvl w:ilvl="0">
      <w:start w:val="2"/>
      <w:numFmt w:val="bullet"/>
      <w:lvlText w:val="-"/>
      <w:lvlJc w:val="left"/>
      <w:pPr>
        <w:ind w:left="49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90294E"/>
    <w:multiLevelType w:val="multilevel"/>
    <w:tmpl w:val="8EB40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85"/>
    <w:rsid w:val="00051F85"/>
    <w:rsid w:val="000F2EFA"/>
    <w:rsid w:val="005F6BF1"/>
    <w:rsid w:val="00922F0D"/>
    <w:rsid w:val="00B6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1227F-5216-4657-8AE9-18668461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eastAsia="Times New Roman" w:cs="Times New Roman"/>
      <w:u w:val="none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rFonts w:cs="Times New Roman"/>
      <w:u w:val="none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b/>
      <w:color w:val="000000"/>
    </w:rPr>
  </w:style>
  <w:style w:type="character" w:customStyle="1" w:styleId="ListLabel113">
    <w:name w:val="ListLabel 113"/>
    <w:qFormat/>
    <w:rPr>
      <w:rFonts w:cs="Times New Roman"/>
      <w:u w:val="none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000000"/>
    </w:rPr>
  </w:style>
  <w:style w:type="character" w:customStyle="1" w:styleId="ListLabel132">
    <w:name w:val="ListLabel 132"/>
    <w:qFormat/>
    <w:rPr>
      <w:rFonts w:cs="Times New Roman"/>
      <w:u w:val="none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Times New Roman"/>
      <w:sz w:val="28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b/>
      <w:color w:val="000000"/>
    </w:rPr>
  </w:style>
  <w:style w:type="character" w:customStyle="1" w:styleId="ListLabel151">
    <w:name w:val="ListLabel 151"/>
    <w:qFormat/>
    <w:rPr>
      <w:rFonts w:cs="Times New Roman"/>
      <w:u w:val="none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Times New Roman"/>
      <w:sz w:val="28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b/>
      <w:color w:val="00000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6">
    <w:name w:val="No Spacing"/>
    <w:uiPriority w:val="1"/>
    <w:qFormat/>
    <w:rsid w:val="00AA4648"/>
    <w:rPr>
      <w:sz w:val="28"/>
      <w:lang w:eastAsia="ru-RU"/>
    </w:rPr>
  </w:style>
  <w:style w:type="paragraph" w:styleId="af7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932100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15</cp:revision>
  <cp:lastPrinted>2021-03-23T10:45:00Z</cp:lastPrinted>
  <dcterms:created xsi:type="dcterms:W3CDTF">2021-03-22T13:46:00Z</dcterms:created>
  <dcterms:modified xsi:type="dcterms:W3CDTF">2021-04-02T13:06:00Z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