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6AE" w:rsidRDefault="002E3725">
      <w:pPr>
        <w:ind w:left="5245" w:firstLine="0"/>
        <w:jc w:val="left"/>
        <w:rPr>
          <w:color w:val="000000"/>
        </w:rPr>
      </w:pPr>
      <w:r>
        <w:rPr>
          <w:color w:val="000000"/>
        </w:rPr>
        <w:t>ЗАТВЕРДЖЕНО</w:t>
      </w:r>
    </w:p>
    <w:p w:rsidR="005856AE" w:rsidRDefault="002E3725">
      <w:pPr>
        <w:ind w:left="5245" w:firstLine="0"/>
        <w:jc w:val="left"/>
        <w:rPr>
          <w:color w:val="000000"/>
        </w:rPr>
      </w:pPr>
      <w:r>
        <w:rPr>
          <w:color w:val="000000"/>
        </w:rPr>
        <w:t xml:space="preserve">наказ Міністерства інфраструктури України </w:t>
      </w:r>
    </w:p>
    <w:p w:rsidR="005856AE" w:rsidRDefault="002E3725">
      <w:pPr>
        <w:ind w:left="5245" w:firstLine="0"/>
        <w:jc w:val="left"/>
      </w:pPr>
      <w:r>
        <w:rPr>
          <w:color w:val="000000"/>
        </w:rPr>
        <w:t>від «</w:t>
      </w:r>
      <w:r w:rsidR="00E56B6F">
        <w:rPr>
          <w:color w:val="000000"/>
        </w:rPr>
        <w:t>02</w:t>
      </w:r>
      <w:r>
        <w:rPr>
          <w:color w:val="000000"/>
        </w:rPr>
        <w:t xml:space="preserve">» </w:t>
      </w:r>
      <w:r w:rsidR="00E56B6F">
        <w:rPr>
          <w:color w:val="000000"/>
        </w:rPr>
        <w:t>квітня</w:t>
      </w:r>
      <w:r>
        <w:rPr>
          <w:color w:val="000000"/>
        </w:rPr>
        <w:t xml:space="preserve"> 2021 р. № </w:t>
      </w:r>
      <w:r w:rsidR="00E56B6F">
        <w:rPr>
          <w:color w:val="000000"/>
        </w:rPr>
        <w:t>200</w:t>
      </w:r>
      <w:bookmarkStart w:id="0" w:name="_GoBack"/>
      <w:bookmarkEnd w:id="0"/>
    </w:p>
    <w:p w:rsidR="005856AE" w:rsidRDefault="005856AE">
      <w:pPr>
        <w:ind w:left="5670" w:firstLine="0"/>
        <w:jc w:val="center"/>
        <w:rPr>
          <w:b/>
          <w:color w:val="000000"/>
        </w:rPr>
      </w:pPr>
    </w:p>
    <w:p w:rsidR="005856AE" w:rsidRDefault="002E3725">
      <w:pPr>
        <w:tabs>
          <w:tab w:val="left" w:pos="0"/>
          <w:tab w:val="left" w:pos="10206"/>
        </w:tabs>
        <w:ind w:firstLine="0"/>
        <w:jc w:val="center"/>
        <w:rPr>
          <w:b/>
        </w:rPr>
      </w:pPr>
      <w:r>
        <w:rPr>
          <w:b/>
        </w:rPr>
        <w:t>УМОВИ</w:t>
      </w:r>
      <w:r>
        <w:rPr>
          <w:b/>
        </w:rPr>
        <w:br/>
        <w:t>проведення конкурсу</w:t>
      </w:r>
    </w:p>
    <w:p w:rsidR="005856AE" w:rsidRDefault="002E3725">
      <w:pPr>
        <w:tabs>
          <w:tab w:val="left" w:pos="0"/>
          <w:tab w:val="left" w:pos="10206"/>
        </w:tabs>
        <w:jc w:val="center"/>
      </w:pPr>
      <w:r>
        <w:rPr>
          <w:b/>
        </w:rPr>
        <w:t xml:space="preserve">на зайняття посади державної служби категорії «В» – </w:t>
      </w:r>
      <w:r>
        <w:rPr>
          <w:b/>
          <w:bCs/>
          <w:lang w:eastAsia="ru-RU"/>
        </w:rPr>
        <w:t>головного спеціаліста</w:t>
      </w:r>
      <w:r>
        <w:rPr>
          <w:b/>
          <w:lang w:eastAsia="ru-RU"/>
        </w:rPr>
        <w:t xml:space="preserve"> </w:t>
      </w:r>
      <w:r>
        <w:rPr>
          <w:b/>
          <w:bCs/>
          <w:lang w:eastAsia="ru-RU"/>
        </w:rPr>
        <w:t>відділу представництва інтересів у судових та правоохоронних органах</w:t>
      </w:r>
      <w:r>
        <w:rPr>
          <w:b/>
          <w:lang w:eastAsia="ru-RU"/>
        </w:rPr>
        <w:t xml:space="preserve"> Юридичного департаменту (2 посада)</w:t>
      </w:r>
    </w:p>
    <w:p w:rsidR="005856AE" w:rsidRDefault="005856AE">
      <w:pPr>
        <w:tabs>
          <w:tab w:val="left" w:pos="0"/>
          <w:tab w:val="left" w:pos="10206"/>
        </w:tabs>
        <w:jc w:val="center"/>
        <w:rPr>
          <w:b/>
          <w:color w:val="000000"/>
        </w:rPr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699"/>
        <w:gridCol w:w="2412"/>
        <w:gridCol w:w="6665"/>
      </w:tblGrid>
      <w:tr w:rsidR="005856AE">
        <w:trPr>
          <w:trHeight w:val="252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6AE" w:rsidRDefault="002E3725">
            <w:pPr>
              <w:spacing w:after="2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Загальні умови</w:t>
            </w:r>
          </w:p>
        </w:tc>
      </w:tr>
      <w:tr w:rsidR="005856AE">
        <w:trPr>
          <w:trHeight w:val="743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Посадові обов’язки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pStyle w:val="af8"/>
              <w:numPr>
                <w:ilvl w:val="0"/>
                <w:numId w:val="1"/>
              </w:numPr>
              <w:tabs>
                <w:tab w:val="left" w:pos="564"/>
              </w:tabs>
              <w:spacing w:after="60"/>
              <w:ind w:left="113" w:right="113" w:firstLine="397"/>
            </w:pPr>
            <w:r>
              <w:rPr>
                <w:color w:val="333333"/>
                <w:shd w:val="clear" w:color="auto" w:fill="FFFFFF"/>
              </w:rPr>
              <w:t>забезпечення ефективного виконання планів роботи та завдань Відділу;</w:t>
            </w:r>
          </w:p>
          <w:p w:rsidR="005856AE" w:rsidRDefault="002E3725">
            <w:pPr>
              <w:pStyle w:val="af8"/>
              <w:numPr>
                <w:ilvl w:val="0"/>
                <w:numId w:val="1"/>
              </w:numPr>
              <w:tabs>
                <w:tab w:val="left" w:pos="516"/>
              </w:tabs>
              <w:spacing w:after="60"/>
              <w:ind w:left="113" w:right="113" w:firstLine="510"/>
              <w:jc w:val="left"/>
            </w:pPr>
            <w:r>
              <w:rPr>
                <w:color w:val="333333"/>
                <w:shd w:val="clear" w:color="auto" w:fill="FFFFFF"/>
              </w:rPr>
              <w:t xml:space="preserve"> забезпечення представництва Мінінфраструктури:</w:t>
            </w:r>
          </w:p>
          <w:p w:rsidR="005856AE" w:rsidRDefault="002E3725">
            <w:pPr>
              <w:pStyle w:val="af8"/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113" w:right="113" w:firstLine="454"/>
            </w:pPr>
            <w:r>
              <w:rPr>
                <w:color w:val="333333"/>
                <w:shd w:val="clear" w:color="auto" w:fill="FFFFFF"/>
              </w:rPr>
              <w:t>у судах України у справах, що виникають з трудових правовідносин, а також у справах незначної складності (малозначних справах);</w:t>
            </w:r>
          </w:p>
          <w:p w:rsidR="005856AE" w:rsidRDefault="002E3725">
            <w:pPr>
              <w:pStyle w:val="af8"/>
              <w:numPr>
                <w:ilvl w:val="0"/>
                <w:numId w:val="1"/>
              </w:numPr>
              <w:tabs>
                <w:tab w:val="left" w:pos="516"/>
              </w:tabs>
              <w:spacing w:after="60"/>
              <w:ind w:left="57" w:right="113" w:firstLine="283"/>
            </w:pPr>
            <w:r>
              <w:rPr>
                <w:color w:val="333333"/>
                <w:shd w:val="clear" w:color="auto" w:fill="FFFFFF"/>
              </w:rPr>
              <w:t>у підприємствах, установах, організаціях незалежно від форми власності та підпорядкованості, у тому числі органах державної виконавчої служби, служби безпеки, прокуратури, внутрішніх справ, поліції, спеціалізованих антикорупційних органах;</w:t>
            </w:r>
          </w:p>
          <w:p w:rsidR="005856AE" w:rsidRDefault="002E3725">
            <w:pPr>
              <w:pStyle w:val="af8"/>
              <w:numPr>
                <w:ilvl w:val="0"/>
                <w:numId w:val="1"/>
              </w:numPr>
              <w:tabs>
                <w:tab w:val="left" w:pos="516"/>
              </w:tabs>
              <w:spacing w:after="60"/>
              <w:ind w:left="113" w:right="113" w:firstLine="283"/>
            </w:pPr>
            <w:r>
              <w:rPr>
                <w:color w:val="333333"/>
                <w:shd w:val="clear" w:color="auto" w:fill="FFFFFF"/>
              </w:rPr>
              <w:t>у відносинах з суб’єктами незалежної професійної діяльності, у тому числі приватними виконавцями, приватними нотаріусами, адвокатами, арбітражними керуючими, судовими експертами;</w:t>
            </w:r>
          </w:p>
          <w:p w:rsidR="005856AE" w:rsidRDefault="002E3725">
            <w:pPr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113" w:right="113" w:firstLine="454"/>
            </w:pPr>
            <w:r>
              <w:rPr>
                <w:color w:val="333333"/>
                <w:shd w:val="clear" w:color="auto" w:fill="FFFFFF"/>
              </w:rPr>
              <w:t xml:space="preserve">   ведення позовної та претензійної роботи;</w:t>
            </w:r>
          </w:p>
          <w:p w:rsidR="005856AE" w:rsidRDefault="002E3725">
            <w:pPr>
              <w:numPr>
                <w:ilvl w:val="0"/>
                <w:numId w:val="1"/>
              </w:numPr>
              <w:tabs>
                <w:tab w:val="left" w:pos="456"/>
                <w:tab w:val="left" w:pos="470"/>
              </w:tabs>
              <w:spacing w:after="60"/>
              <w:ind w:left="113" w:right="113" w:firstLine="340"/>
            </w:pPr>
            <w:r>
              <w:rPr>
                <w:color w:val="333333"/>
                <w:shd w:val="clear" w:color="auto" w:fill="FFFFFF"/>
              </w:rPr>
              <w:t xml:space="preserve">   підготовка та забезпечення подання до суду позовних заяв та інших письмових заяв по суті справи, заяв з процесуальних питань, апеляційних та касаційних скарг, інших процесуальних документів правового характеру у судових справах;</w:t>
            </w:r>
          </w:p>
          <w:p w:rsidR="005856AE" w:rsidRDefault="002E3725">
            <w:pPr>
              <w:numPr>
                <w:ilvl w:val="0"/>
                <w:numId w:val="1"/>
              </w:numPr>
              <w:tabs>
                <w:tab w:val="left" w:pos="168"/>
              </w:tabs>
              <w:spacing w:after="60"/>
              <w:ind w:left="113" w:right="113" w:firstLine="340"/>
            </w:pPr>
            <w:r>
              <w:rPr>
                <w:color w:val="333333"/>
                <w:shd w:val="clear" w:color="auto" w:fill="FFFFFF"/>
              </w:rPr>
              <w:t xml:space="preserve">   забезпечення інформування Міністра інфраструктури України про набрання законної сили судовими рішеннями, які підлягають виконанню Міністерством інфраструктури України, або про їх звернення (допущення) до негайного виконання;</w:t>
            </w:r>
          </w:p>
          <w:p w:rsidR="005856AE" w:rsidRDefault="002E3725">
            <w:pPr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113" w:right="113" w:firstLine="510"/>
            </w:pPr>
            <w:r>
              <w:rPr>
                <w:color w:val="333333"/>
                <w:shd w:val="clear" w:color="auto" w:fill="FFFFFF"/>
              </w:rPr>
              <w:t xml:space="preserve">    пред’явлення виконавчих документів, за якими Міністерство інфраструктури України є </w:t>
            </w:r>
            <w:proofErr w:type="spellStart"/>
            <w:r>
              <w:rPr>
                <w:color w:val="333333"/>
                <w:shd w:val="clear" w:color="auto" w:fill="FFFFFF"/>
              </w:rPr>
              <w:t>стягувачем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, до виконання, контроль стану виконання </w:t>
            </w:r>
            <w:r>
              <w:rPr>
                <w:color w:val="333333"/>
                <w:shd w:val="clear" w:color="auto" w:fill="FFFFFF"/>
              </w:rPr>
              <w:lastRenderedPageBreak/>
              <w:t xml:space="preserve">виконавчих документів, за якими Мінінфраструктури є </w:t>
            </w:r>
            <w:proofErr w:type="spellStart"/>
            <w:r>
              <w:rPr>
                <w:color w:val="333333"/>
                <w:shd w:val="clear" w:color="auto" w:fill="FFFFFF"/>
              </w:rPr>
              <w:t>стягувачем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або боржником;</w:t>
            </w:r>
          </w:p>
          <w:p w:rsidR="005856AE" w:rsidRDefault="002E3725">
            <w:pPr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113" w:right="113" w:firstLine="397"/>
            </w:pPr>
            <w:r>
              <w:rPr>
                <w:color w:val="333333"/>
                <w:shd w:val="clear" w:color="auto" w:fill="FFFFFF"/>
              </w:rPr>
              <w:t xml:space="preserve">    аналіз результатів позовної та претензійної роботи;</w:t>
            </w:r>
          </w:p>
          <w:p w:rsidR="005856AE" w:rsidRDefault="002E3725">
            <w:pPr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170" w:right="113" w:firstLine="340"/>
            </w:pPr>
            <w:r>
              <w:rPr>
                <w:color w:val="333333"/>
                <w:shd w:val="clear" w:color="auto" w:fill="FFFFFF"/>
              </w:rPr>
              <w:t xml:space="preserve">    моніторинг стану позовної та претензійної роботи у центральних органах виконавчої влади, діяльність яких спрямовується і координується Кабінетом Міністрів України через Міністра інфраструктури України, а також на підприємствах, установах, організаціях, що належать до сфери управління Мінінфраструктури. </w:t>
            </w:r>
          </w:p>
        </w:tc>
      </w:tr>
      <w:tr w:rsidR="005856AE">
        <w:trPr>
          <w:trHeight w:val="2586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Умови оплати праці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tabs>
                <w:tab w:val="left" w:pos="612"/>
              </w:tabs>
              <w:spacing w:after="20"/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посадовий оклад – 10 600 грн.;</w:t>
            </w:r>
          </w:p>
          <w:p w:rsidR="005856AE" w:rsidRDefault="002E3725">
            <w:pPr>
              <w:tabs>
                <w:tab w:val="left" w:pos="612"/>
              </w:tabs>
              <w:ind w:left="121" w:right="102" w:firstLine="0"/>
            </w:pPr>
            <w:r>
              <w:rPr>
                <w:color w:val="000000"/>
              </w:rPr>
              <w:t>надбавки, доплати, премії та компенсації</w:t>
            </w:r>
            <w:r>
              <w:t xml:space="preserve"> відповідно до статті 52 Закону України «Про державну службу»;</w:t>
            </w:r>
          </w:p>
          <w:p w:rsidR="005856AE" w:rsidRDefault="002E3725">
            <w:pPr>
              <w:tabs>
                <w:tab w:val="left" w:pos="612"/>
              </w:tabs>
              <w:ind w:left="121" w:right="102" w:firstLine="0"/>
            </w:pPr>
            <w: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5856AE">
        <w:trPr>
          <w:trHeight w:val="1077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tabs>
                <w:tab w:val="left" w:pos="0"/>
                <w:tab w:val="left" w:pos="612"/>
              </w:tabs>
              <w:spacing w:after="20"/>
              <w:ind w:left="121" w:right="102" w:firstLine="0"/>
            </w:pPr>
            <w:r>
              <w:t>безстроково</w:t>
            </w:r>
          </w:p>
          <w:p w:rsidR="005856AE" w:rsidRDefault="002E3725">
            <w:pPr>
              <w:tabs>
                <w:tab w:val="left" w:pos="0"/>
                <w:tab w:val="left" w:pos="612"/>
              </w:tabs>
              <w:spacing w:after="20"/>
              <w:ind w:left="121" w:right="102" w:firstLine="0"/>
            </w:pPr>
            <w:r>
              <w:rPr>
                <w:color w:val="000000"/>
                <w:shd w:val="clear" w:color="auto" w:fill="FFFFFF"/>
              </w:rPr>
              <w:t>строк призначення особи, яка досягла 65-річного віку становить один рік з правом повторного призначення без обов’язкового проведення конкурсу щорічно</w:t>
            </w:r>
          </w:p>
        </w:tc>
      </w:tr>
      <w:tr w:rsidR="005856AE">
        <w:trPr>
          <w:trHeight w:val="601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hd w:val="clear" w:color="auto" w:fill="FFFFFF"/>
              <w:ind w:left="1" w:right="127" w:firstLine="425"/>
            </w:pPr>
            <w:r>
              <w:rPr>
                <w:lang w:val="ru-RU"/>
              </w:rPr>
              <w:t xml:space="preserve">1) </w:t>
            </w:r>
            <w:r>
              <w:t>заява про участь у конкурсі із зазначенням основних мотивів щодо зайняття посади за формою згідно з додатком 2</w:t>
            </w:r>
            <w:r>
              <w:rPr>
                <w:rFonts w:eastAsia="MS Mincho"/>
                <w:lang w:val="ru-RU" w:eastAsia="ja-JP"/>
              </w:rPr>
              <w:t xml:space="preserve"> П</w:t>
            </w:r>
            <w:proofErr w:type="spellStart"/>
            <w:r>
              <w:rPr>
                <w:rStyle w:val="rvts23"/>
                <w:bCs/>
                <w:color w:val="000000"/>
                <w:shd w:val="clear" w:color="auto" w:fill="FFFFFF"/>
              </w:rPr>
              <w:t>оряд</w:t>
            </w:r>
            <w:proofErr w:type="spellEnd"/>
            <w:r>
              <w:rPr>
                <w:rStyle w:val="rvts23"/>
                <w:bCs/>
                <w:color w:val="000000"/>
                <w:shd w:val="clear" w:color="auto" w:fill="FFFFFF"/>
                <w:lang w:val="ru-RU"/>
              </w:rPr>
              <w:t xml:space="preserve">ку </w:t>
            </w:r>
            <w:r>
              <w:rPr>
                <w:rStyle w:val="rvts23"/>
                <w:bCs/>
                <w:color w:val="000000"/>
                <w:shd w:val="clear" w:color="auto" w:fill="FFFFFF"/>
              </w:rPr>
              <w:t>проведення конкурсу на зайняття посад державної служби</w:t>
            </w:r>
            <w:r>
              <w:rPr>
                <w:rStyle w:val="rvts23"/>
                <w:bCs/>
                <w:color w:val="000000"/>
                <w:shd w:val="clear" w:color="auto" w:fill="FFFFFF"/>
                <w:lang w:val="ru-RU"/>
              </w:rPr>
              <w:t>,</w:t>
            </w:r>
            <w:r>
              <w:t xml:space="preserve"> </w:t>
            </w:r>
            <w:proofErr w:type="spellStart"/>
            <w:r>
              <w:t>затверджен</w:t>
            </w:r>
            <w:proofErr w:type="spellEnd"/>
            <w:r>
              <w:rPr>
                <w:lang w:val="ru-RU"/>
              </w:rPr>
              <w:t>ого</w:t>
            </w:r>
            <w:r>
              <w:t xml:space="preserve"> постановою Кабінету Міністрів України </w:t>
            </w:r>
            <w:r>
              <w:rPr>
                <w:bCs/>
                <w:color w:val="000000"/>
                <w:shd w:val="clear" w:color="auto" w:fill="FFFFFF"/>
              </w:rPr>
              <w:t>від 25 березня 2016 року № 246</w:t>
            </w:r>
            <w:r>
              <w:t xml:space="preserve"> (зі змінами)</w:t>
            </w:r>
            <w:r>
              <w:rPr>
                <w:color w:val="000000"/>
                <w:spacing w:val="-6"/>
              </w:rPr>
              <w:t>;</w:t>
            </w:r>
            <w:r>
              <w:t xml:space="preserve"> </w:t>
            </w:r>
          </w:p>
          <w:p w:rsidR="005856AE" w:rsidRDefault="002E3725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t>2) резюме за формою згідно з додатком 2</w:t>
            </w:r>
            <w:r>
              <w:rPr>
                <w:vertAlign w:val="superscript"/>
              </w:rPr>
              <w:t>1</w:t>
            </w:r>
            <w:r>
              <w:rPr>
                <w:rFonts w:eastAsia="MS Mincho"/>
                <w:lang w:eastAsia="ja-JP"/>
              </w:rPr>
              <w:t>, в якому обов’язково зазначається така інформація:</w:t>
            </w:r>
          </w:p>
          <w:p w:rsidR="005856AE" w:rsidRDefault="002E3725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прізвище, ім’я, по батькові кандидата;</w:t>
            </w:r>
          </w:p>
          <w:p w:rsidR="005856AE" w:rsidRDefault="002E3725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реквізити документа, що посвідчує особу та підтверджує громадянство України;</w:t>
            </w:r>
          </w:p>
          <w:p w:rsidR="005856AE" w:rsidRDefault="002E3725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підтвердження наявності відповідного ступеня вищої освіти;</w:t>
            </w:r>
          </w:p>
          <w:p w:rsidR="005856AE" w:rsidRDefault="002E3725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підтвердження рівня вільного володіння державною мовою;</w:t>
            </w:r>
          </w:p>
          <w:p w:rsidR="005856AE" w:rsidRDefault="002E3725">
            <w:pPr>
              <w:shd w:val="clear" w:color="auto" w:fill="FFFFFF"/>
              <w:ind w:left="1" w:right="127" w:firstLine="425"/>
            </w:pPr>
            <w:r>
              <w:rPr>
                <w:rFonts w:eastAsia="MS Mincho"/>
                <w:lang w:eastAsia="ja-JP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5856AE" w:rsidRDefault="002E3725">
            <w:pPr>
              <w:shd w:val="clear" w:color="auto" w:fill="FFFFFF"/>
              <w:ind w:right="127" w:firstLine="426"/>
              <w:rPr>
                <w:rFonts w:eastAsia="MS Mincho"/>
                <w:lang w:val="ru-RU" w:eastAsia="ja-JP"/>
              </w:rPr>
            </w:pPr>
            <w:r>
              <w:lastRenderedPageBreak/>
              <w:t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  <w:r>
              <w:rPr>
                <w:lang w:val="ru-RU"/>
              </w:rPr>
              <w:t>.</w:t>
            </w:r>
          </w:p>
          <w:p w:rsidR="005856AE" w:rsidRDefault="005856AE">
            <w:pPr>
              <w:shd w:val="clear" w:color="auto" w:fill="FFFFFF"/>
              <w:ind w:right="127" w:firstLine="426"/>
              <w:rPr>
                <w:color w:val="000000"/>
                <w:lang w:val="ru-RU" w:eastAsia="en-US"/>
              </w:rPr>
            </w:pPr>
            <w:bookmarkStart w:id="1" w:name="n346"/>
            <w:bookmarkStart w:id="2" w:name="n1334"/>
            <w:bookmarkStart w:id="3" w:name="n343"/>
            <w:bookmarkStart w:id="4" w:name="n1331"/>
            <w:bookmarkEnd w:id="1"/>
            <w:bookmarkEnd w:id="2"/>
            <w:bookmarkEnd w:id="3"/>
            <w:bookmarkEnd w:id="4"/>
          </w:p>
          <w:p w:rsidR="005856AE" w:rsidRDefault="002E3725" w:rsidP="0048706C">
            <w:pPr>
              <w:shd w:val="clear" w:color="auto" w:fill="FFFFFF"/>
              <w:tabs>
                <w:tab w:val="left" w:pos="612"/>
              </w:tabs>
              <w:spacing w:before="240" w:after="20"/>
              <w:ind w:left="121" w:right="127" w:firstLine="0"/>
            </w:pPr>
            <w:r>
              <w:rPr>
                <w:color w:val="000000"/>
              </w:rPr>
              <w:t>Інформація приймається до 1</w:t>
            </w:r>
            <w:r w:rsidR="0048706C" w:rsidRPr="00E56B6F">
              <w:rPr>
                <w:color w:val="000000"/>
                <w:lang w:val="ru-RU"/>
              </w:rPr>
              <w:t>6</w:t>
            </w:r>
            <w:r>
              <w:rPr>
                <w:color w:val="000000"/>
              </w:rPr>
              <w:t xml:space="preserve"> год. 45 хв. 09 квітня 2021 року. </w:t>
            </w:r>
            <w:r>
              <w:t xml:space="preserve"> </w:t>
            </w:r>
          </w:p>
        </w:tc>
      </w:tr>
      <w:tr w:rsidR="005856AE">
        <w:trPr>
          <w:trHeight w:val="131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Додаткові (необов’язкові) документи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hd w:val="clear" w:color="auto" w:fill="FFFFFF"/>
              <w:tabs>
                <w:tab w:val="left" w:pos="612"/>
              </w:tabs>
              <w:ind w:left="121" w:right="102" w:firstLine="0"/>
            </w:pPr>
            <w:r>
              <w:rPr>
                <w:color w:val="000000" w:themeColor="text1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5856AE">
        <w:trPr>
          <w:trHeight w:val="131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left="127" w:right="126" w:firstLine="0"/>
            </w:pPr>
            <w:r>
              <w:t xml:space="preserve">Дата і час початку проведення тестування кандидатів. </w:t>
            </w:r>
          </w:p>
          <w:p w:rsidR="005856AE" w:rsidRDefault="002E3725">
            <w:pPr>
              <w:spacing w:after="20"/>
              <w:ind w:left="127" w:right="126" w:firstLine="0"/>
            </w:pPr>
            <w:r>
              <w:t>Місце або спосіб проведення тестування.</w:t>
            </w:r>
          </w:p>
          <w:p w:rsidR="005856AE" w:rsidRDefault="002E3725">
            <w:pPr>
              <w:ind w:left="127" w:right="126" w:firstLine="0"/>
              <w:jc w:val="left"/>
              <w:rPr>
                <w:color w:val="000000"/>
              </w:rPr>
            </w:pPr>
            <w: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hd w:val="clear" w:color="auto" w:fill="FFFFFF"/>
              <w:tabs>
                <w:tab w:val="left" w:pos="612"/>
              </w:tabs>
              <w:ind w:left="121" w:right="102" w:firstLine="0"/>
            </w:pPr>
            <w:r>
              <w:rPr>
                <w:color w:val="000000"/>
              </w:rPr>
              <w:t>16 квітня 2021 року 10 год. 00 хв.</w:t>
            </w:r>
          </w:p>
          <w:p w:rsidR="005856AE" w:rsidRDefault="005856AE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5856AE" w:rsidRDefault="005856AE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5856AE" w:rsidRDefault="002E3725">
            <w:pPr>
              <w:ind w:left="127" w:right="119" w:firstLine="0"/>
              <w:rPr>
                <w:sz w:val="24"/>
              </w:rPr>
            </w:pPr>
            <w:r>
              <w:t>Проведення тестування дистанційно, шляхом використання  кандидатом комп’ютерної техніки та підключення через особистий кабінет на Єдиному порталі вакансій державної служби.</w:t>
            </w:r>
          </w:p>
          <w:p w:rsidR="005856AE" w:rsidRDefault="005856AE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5856AE" w:rsidRDefault="005856AE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5856AE" w:rsidRDefault="002E3725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Проведення співбесіди дистанційно за допомогою платформи </w:t>
            </w:r>
            <w:r>
              <w:rPr>
                <w:color w:val="000000"/>
                <w:lang w:val="en-US"/>
              </w:rPr>
              <w:t>Zoom</w:t>
            </w:r>
            <w:r>
              <w:rPr>
                <w:color w:val="000000"/>
              </w:rPr>
              <w:t xml:space="preserve"> (про час та дату кандидатів буде повідомлено додатково)</w:t>
            </w:r>
          </w:p>
        </w:tc>
      </w:tr>
      <w:tr w:rsidR="005856AE">
        <w:trPr>
          <w:trHeight w:val="131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left="127" w:right="126" w:firstLine="0"/>
            </w:pPr>
            <w:r>
              <w:rPr>
                <w:color w:val="000000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Кот Наталія Костянтинівна</w:t>
            </w:r>
          </w:p>
          <w:p w:rsidR="005856AE" w:rsidRDefault="002E3725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044 351 40 75</w:t>
            </w:r>
          </w:p>
          <w:p w:rsidR="005856AE" w:rsidRDefault="002E3725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en-US"/>
              </w:rPr>
              <w:t>kot</w:t>
            </w:r>
            <w:proofErr w:type="spellEnd"/>
            <w:r>
              <w:rPr>
                <w:color w:val="000000"/>
                <w:lang w:val="ru-RU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mtu</w:t>
            </w:r>
            <w:proofErr w:type="spellEnd"/>
            <w:r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ua</w:t>
            </w:r>
            <w:proofErr w:type="spellEnd"/>
          </w:p>
        </w:tc>
      </w:tr>
      <w:tr w:rsidR="005856AE">
        <w:trPr>
          <w:trHeight w:val="217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Кваліфікаційні вимоги</w:t>
            </w:r>
          </w:p>
        </w:tc>
      </w:tr>
      <w:tr w:rsidR="005856AE">
        <w:trPr>
          <w:trHeight w:val="27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AE" w:rsidRDefault="002E3725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Освіта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pStyle w:val="af7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вища освіта за освітнім ступенем не нижче бакалавра, молодшого бакалавра</w:t>
            </w:r>
          </w:p>
        </w:tc>
      </w:tr>
      <w:tr w:rsidR="005856AE">
        <w:trPr>
          <w:trHeight w:val="13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left="118" w:right="26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AE" w:rsidRDefault="002E3725">
            <w:pPr>
              <w:spacing w:after="20"/>
              <w:ind w:left="118" w:right="-12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Досвід роботи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pStyle w:val="af7"/>
              <w:spacing w:beforeAutospacing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потребує</w:t>
            </w:r>
            <w:proofErr w:type="spellEnd"/>
          </w:p>
        </w:tc>
      </w:tr>
      <w:tr w:rsidR="005856AE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AE" w:rsidRDefault="002E3725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Володіння державною мовою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вільне володіння державною мовою</w:t>
            </w:r>
          </w:p>
        </w:tc>
      </w:tr>
      <w:tr w:rsidR="005856AE">
        <w:trPr>
          <w:trHeight w:val="530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BA6524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</w:pPr>
            <w:hyperlink r:id="rId8">
              <w:r w:rsidR="002E3725">
                <w:rPr>
                  <w:rStyle w:val="ListLabel92"/>
                </w:rPr>
                <w:t>Вимоги до компетентності</w:t>
              </w:r>
            </w:hyperlink>
          </w:p>
        </w:tc>
      </w:tr>
      <w:tr w:rsidR="005856AE">
        <w:trPr>
          <w:trHeight w:val="53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Вимога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Компоненти вимоги</w:t>
            </w:r>
          </w:p>
        </w:tc>
      </w:tr>
      <w:tr w:rsidR="005856AE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AE" w:rsidRDefault="002E3725">
            <w:pPr>
              <w:ind w:right="106" w:firstLine="0"/>
            </w:pPr>
            <w:r>
              <w:rPr>
                <w:color w:val="000000"/>
              </w:rPr>
              <w:t>Аналітичні здібності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widowControl w:val="0"/>
              <w:numPr>
                <w:ilvl w:val="0"/>
                <w:numId w:val="2"/>
              </w:numPr>
              <w:tabs>
                <w:tab w:val="left" w:pos="282"/>
              </w:tabs>
              <w:ind w:left="178" w:right="272" w:firstLine="1"/>
            </w:pPr>
            <w:r>
              <w:rPr>
                <w:color w:val="000000"/>
              </w:rPr>
              <w:t xml:space="preserve"> 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5856AE" w:rsidRDefault="002E3725">
            <w:pPr>
              <w:widowControl w:val="0"/>
              <w:numPr>
                <w:ilvl w:val="0"/>
                <w:numId w:val="2"/>
              </w:numPr>
              <w:tabs>
                <w:tab w:val="left" w:pos="430"/>
                <w:tab w:val="left" w:pos="431"/>
                <w:tab w:val="left" w:pos="1476"/>
                <w:tab w:val="left" w:pos="3509"/>
              </w:tabs>
              <w:ind w:left="178" w:right="272" w:firstLine="1"/>
            </w:pPr>
            <w:r>
              <w:rPr>
                <w:color w:val="000000"/>
              </w:rPr>
              <w:t>вміння встановлювати причинно-наслідкові зв’язки;</w:t>
            </w:r>
          </w:p>
          <w:p w:rsidR="005856AE" w:rsidRDefault="002E3725">
            <w:pPr>
              <w:widowControl w:val="0"/>
              <w:numPr>
                <w:ilvl w:val="0"/>
                <w:numId w:val="2"/>
              </w:numPr>
              <w:tabs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ind w:left="178" w:right="272" w:firstLine="1"/>
            </w:pPr>
            <w:r>
              <w:rPr>
                <w:color w:val="000000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5856AE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left="118" w:firstLine="0"/>
              <w:jc w:val="left"/>
            </w:pPr>
            <w:r>
              <w:rPr>
                <w:color w:val="000000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AE" w:rsidRDefault="002E3725">
            <w:pPr>
              <w:ind w:right="106" w:firstLine="0"/>
            </w:pPr>
            <w:r>
              <w:rPr>
                <w:color w:val="000000"/>
              </w:rPr>
              <w:t>Досягнення результатів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widowControl w:val="0"/>
              <w:numPr>
                <w:ilvl w:val="0"/>
                <w:numId w:val="2"/>
              </w:numPr>
              <w:tabs>
                <w:tab w:val="left" w:pos="461"/>
                <w:tab w:val="left" w:pos="463"/>
                <w:tab w:val="left" w:pos="1825"/>
                <w:tab w:val="left" w:pos="2369"/>
                <w:tab w:val="left" w:pos="3503"/>
                <w:tab w:val="left" w:pos="4725"/>
              </w:tabs>
              <w:ind w:left="178" w:right="272" w:firstLine="1"/>
            </w:pPr>
            <w:r>
              <w:rPr>
                <w:color w:val="000000"/>
              </w:rPr>
              <w:t>здатність до чіткого бачення результату діяльності;</w:t>
            </w:r>
          </w:p>
          <w:p w:rsidR="005856AE" w:rsidRDefault="002E3725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ind w:left="178" w:right="272" w:firstLine="1"/>
            </w:pPr>
            <w:r>
              <w:rPr>
                <w:color w:val="000000"/>
              </w:rPr>
              <w:t>вміння фокусувати зусилля для досягнення результату діяльності;</w:t>
            </w:r>
          </w:p>
          <w:p w:rsidR="005856AE" w:rsidRDefault="002E3725">
            <w:pPr>
              <w:widowControl w:val="0"/>
              <w:numPr>
                <w:ilvl w:val="0"/>
                <w:numId w:val="2"/>
              </w:numPr>
              <w:tabs>
                <w:tab w:val="left" w:pos="483"/>
                <w:tab w:val="left" w:pos="485"/>
                <w:tab w:val="left" w:pos="1583"/>
                <w:tab w:val="left" w:pos="3123"/>
                <w:tab w:val="left" w:pos="3654"/>
                <w:tab w:val="left" w:pos="5198"/>
              </w:tabs>
              <w:ind w:left="178" w:right="272" w:firstLine="1"/>
            </w:pPr>
            <w:r>
              <w:rPr>
                <w:color w:val="000000"/>
              </w:rPr>
              <w:t>вміння запобігати та ефективно долати перешкоди</w:t>
            </w:r>
          </w:p>
        </w:tc>
      </w:tr>
      <w:tr w:rsidR="005856AE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left="118" w:firstLine="0"/>
              <w:jc w:val="left"/>
            </w:pPr>
            <w:r>
              <w:t>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AE" w:rsidRDefault="002E3725">
            <w:pPr>
              <w:ind w:right="106" w:firstLine="0"/>
            </w:pPr>
            <w:r>
              <w:rPr>
                <w:color w:val="000000"/>
              </w:rPr>
              <w:t>Обґрунтування власної позиції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widowControl w:val="0"/>
              <w:numPr>
                <w:ilvl w:val="0"/>
                <w:numId w:val="2"/>
              </w:numPr>
              <w:tabs>
                <w:tab w:val="left" w:pos="366"/>
              </w:tabs>
              <w:ind w:left="178" w:right="272" w:firstLine="1"/>
            </w:pPr>
            <w:r>
              <w:rPr>
                <w:color w:val="000000"/>
              </w:rPr>
              <w:t>здатність правильно розставляти акценти та аргументувати позицію;</w:t>
            </w:r>
          </w:p>
          <w:p w:rsidR="005856AE" w:rsidRDefault="002E3725">
            <w:pPr>
              <w:widowControl w:val="0"/>
              <w:numPr>
                <w:ilvl w:val="0"/>
                <w:numId w:val="2"/>
              </w:numPr>
              <w:tabs>
                <w:tab w:val="left" w:pos="366"/>
              </w:tabs>
              <w:ind w:left="178" w:right="272" w:firstLine="1"/>
            </w:pPr>
            <w:r>
              <w:rPr>
                <w:color w:val="000000"/>
              </w:rPr>
              <w:t>вміння правильно формулювати тези;</w:t>
            </w:r>
          </w:p>
          <w:p w:rsidR="005856AE" w:rsidRDefault="002E3725">
            <w:pPr>
              <w:widowControl w:val="0"/>
              <w:numPr>
                <w:ilvl w:val="0"/>
                <w:numId w:val="2"/>
              </w:numPr>
              <w:tabs>
                <w:tab w:val="left" w:pos="445"/>
                <w:tab w:val="left" w:pos="446"/>
                <w:tab w:val="left" w:pos="1507"/>
                <w:tab w:val="left" w:pos="3788"/>
                <w:tab w:val="left" w:pos="5160"/>
              </w:tabs>
              <w:ind w:left="178" w:right="272" w:firstLine="1"/>
            </w:pPr>
            <w:r>
              <w:rPr>
                <w:color w:val="000000"/>
              </w:rPr>
              <w:t>вміння використовувати прийоми, методи порівняння і узагальнення, доведення аргументів прикладами</w:t>
            </w:r>
          </w:p>
        </w:tc>
      </w:tr>
      <w:tr w:rsidR="005856AE">
        <w:trPr>
          <w:trHeight w:val="53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left="118" w:firstLine="0"/>
              <w:jc w:val="left"/>
            </w:pPr>
            <w:r>
              <w:rPr>
                <w:color w:val="000000"/>
              </w:rPr>
              <w:t>4.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AE" w:rsidRDefault="002E3725">
            <w:pPr>
              <w:ind w:firstLine="0"/>
            </w:pPr>
            <w:r>
              <w:rPr>
                <w:highlight w:val="white"/>
              </w:rPr>
              <w:t>Відповідальність</w:t>
            </w:r>
          </w:p>
        </w:tc>
        <w:tc>
          <w:tcPr>
            <w:tcW w:w="6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pStyle w:val="af8"/>
              <w:numPr>
                <w:ilvl w:val="0"/>
                <w:numId w:val="1"/>
              </w:numPr>
              <w:tabs>
                <w:tab w:val="left" w:pos="694"/>
              </w:tabs>
              <w:ind w:left="127" w:right="125" w:firstLine="62"/>
            </w:pPr>
            <w:r>
              <w:rPr>
                <w:highlight w:val="white"/>
              </w:rPr>
              <w:t xml:space="preserve">усвідомлення важливості якісного виконання своїх посадових обов'язків з дотриманням строків та встановлених процедур; </w:t>
            </w:r>
          </w:p>
          <w:p w:rsidR="005856AE" w:rsidRDefault="002E3725">
            <w:pPr>
              <w:pStyle w:val="af8"/>
              <w:numPr>
                <w:ilvl w:val="0"/>
                <w:numId w:val="1"/>
              </w:numPr>
              <w:tabs>
                <w:tab w:val="left" w:pos="694"/>
              </w:tabs>
              <w:ind w:left="127" w:right="125" w:firstLine="62"/>
            </w:pPr>
            <w:r>
              <w:rPr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5856AE" w:rsidRDefault="002E3725">
            <w:pPr>
              <w:pStyle w:val="af8"/>
              <w:numPr>
                <w:ilvl w:val="0"/>
                <w:numId w:val="1"/>
              </w:numPr>
              <w:tabs>
                <w:tab w:val="left" w:pos="694"/>
              </w:tabs>
              <w:ind w:left="127" w:right="125" w:firstLine="62"/>
            </w:pPr>
            <w:r>
              <w:rPr>
                <w:highlight w:val="white"/>
              </w:rPr>
              <w:t>здатність брати на себе зобов’язання, чітко їх дотримуватись і виконувати</w:t>
            </w:r>
          </w:p>
        </w:tc>
      </w:tr>
      <w:tr w:rsidR="005856AE">
        <w:trPr>
          <w:trHeight w:val="530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Професійні знання</w:t>
            </w:r>
          </w:p>
        </w:tc>
      </w:tr>
      <w:tr w:rsidR="005856AE">
        <w:trPr>
          <w:trHeight w:val="53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Вимога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Компоненти вимоги</w:t>
            </w:r>
          </w:p>
        </w:tc>
      </w:tr>
      <w:tr w:rsidR="005856AE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AE" w:rsidRDefault="002E3725">
            <w:pPr>
              <w:spacing w:after="20"/>
              <w:ind w:left="120" w:firstLine="0"/>
              <w:jc w:val="left"/>
            </w:pPr>
            <w:r>
              <w:t>Знання законодавства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Знання:</w:t>
            </w:r>
          </w:p>
          <w:p w:rsidR="005856AE" w:rsidRDefault="002E3725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Конституції України;</w:t>
            </w:r>
          </w:p>
          <w:p w:rsidR="005856AE" w:rsidRDefault="002E3725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Закону України «Про державну службу»;</w:t>
            </w:r>
          </w:p>
          <w:p w:rsidR="005856AE" w:rsidRDefault="002E3725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lastRenderedPageBreak/>
              <w:t>Закону України «Про запобігання корупції»</w:t>
            </w:r>
          </w:p>
          <w:p w:rsidR="005856AE" w:rsidRDefault="002E3725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та іншого законодавства</w:t>
            </w:r>
          </w:p>
        </w:tc>
      </w:tr>
      <w:tr w:rsidR="005856AE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firstLine="0"/>
              <w:jc w:val="center"/>
            </w:pPr>
            <w:r>
              <w:lastRenderedPageBreak/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AE" w:rsidRDefault="002E3725">
            <w:pPr>
              <w:spacing w:after="20"/>
              <w:ind w:firstLine="0"/>
              <w:jc w:val="left"/>
            </w:pPr>
            <w:r>
              <w:t>Знання законодавства у сфері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tabs>
                <w:tab w:val="left" w:pos="522"/>
              </w:tabs>
              <w:spacing w:after="20"/>
              <w:ind w:left="135" w:right="125" w:firstLine="285"/>
            </w:pPr>
            <w:r>
              <w:t xml:space="preserve">Знання законодавства у сферах автомобільного, залізничного, морського та річкового транспорту, надання послуг поштового зв’язку, а також у сфері авіаційного транспорту та використання повітряного простору України, розвитку, будівництва, реконструкції та модернізації інфраструктури авіаційного, морського та річкового транспорту, дорожнього господарства, </w:t>
            </w:r>
            <w:proofErr w:type="spellStart"/>
            <w:r>
              <w:t>навігаційно</w:t>
            </w:r>
            <w:proofErr w:type="spellEnd"/>
            <w:r>
              <w:t>-гідрографічного забезпечення судноплавства, торговельного мореплавства, з питань безпеки на автомобільному транспорті загального користування, міському електричному, залізничному, морському та річковому транспорті, а також державного нагляду (контролю) за безпекою на автомобільному транспорті загального користування, міському електричному, залізничному, морському та річковому транспорті (крім сфери безпеки мореплавства суден флоту рибної промисловості).</w:t>
            </w:r>
          </w:p>
          <w:p w:rsidR="005856AE" w:rsidRDefault="002E3725">
            <w:pPr>
              <w:tabs>
                <w:tab w:val="left" w:pos="412"/>
              </w:tabs>
              <w:spacing w:after="20"/>
              <w:ind w:right="125" w:firstLine="0"/>
            </w:pPr>
            <w:r>
              <w:t xml:space="preserve">  </w:t>
            </w:r>
          </w:p>
        </w:tc>
      </w:tr>
      <w:tr w:rsidR="005856AE">
        <w:trPr>
          <w:trHeight w:val="53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spacing w:after="20"/>
              <w:ind w:firstLine="0"/>
              <w:jc w:val="center"/>
            </w:pPr>
            <w:r>
              <w:t>3,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AE" w:rsidRDefault="002E3725">
            <w:pPr>
              <w:spacing w:after="20"/>
              <w:ind w:firstLine="0"/>
            </w:pPr>
            <w:r>
              <w:t>Знання процесуального закону</w:t>
            </w:r>
          </w:p>
        </w:tc>
        <w:tc>
          <w:tcPr>
            <w:tcW w:w="6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AE" w:rsidRDefault="002E3725">
            <w:pPr>
              <w:tabs>
                <w:tab w:val="left" w:pos="129"/>
              </w:tabs>
              <w:spacing w:after="20"/>
              <w:ind w:left="135" w:right="120" w:firstLine="285"/>
            </w:pPr>
            <w:r>
              <w:t>Знання:</w:t>
            </w:r>
          </w:p>
          <w:p w:rsidR="005856AE" w:rsidRDefault="002E3725">
            <w:pPr>
              <w:tabs>
                <w:tab w:val="left" w:pos="129"/>
              </w:tabs>
              <w:spacing w:after="20"/>
              <w:ind w:left="135" w:right="120" w:firstLine="285"/>
            </w:pPr>
            <w:r>
              <w:t>Господарського процесуального кодексу України;</w:t>
            </w:r>
          </w:p>
          <w:p w:rsidR="005856AE" w:rsidRDefault="002E3725">
            <w:pPr>
              <w:tabs>
                <w:tab w:val="left" w:pos="129"/>
              </w:tabs>
              <w:spacing w:after="20"/>
              <w:ind w:left="135" w:right="120" w:firstLine="285"/>
            </w:pPr>
            <w:r>
              <w:t>Адміністративного процесуального кодексу України;</w:t>
            </w:r>
          </w:p>
          <w:p w:rsidR="005856AE" w:rsidRDefault="002E3725">
            <w:pPr>
              <w:tabs>
                <w:tab w:val="left" w:pos="129"/>
              </w:tabs>
              <w:spacing w:after="20"/>
              <w:ind w:left="135" w:right="120" w:firstLine="285"/>
            </w:pPr>
            <w:r>
              <w:t>Цивільного процесуального кодексу України;</w:t>
            </w:r>
          </w:p>
          <w:p w:rsidR="005856AE" w:rsidRDefault="002E3725">
            <w:pPr>
              <w:tabs>
                <w:tab w:val="left" w:pos="129"/>
              </w:tabs>
              <w:spacing w:after="20"/>
              <w:ind w:left="135" w:right="120" w:firstLine="285"/>
            </w:pPr>
            <w:r>
              <w:t>Кримінального процесуального кодексу України</w:t>
            </w:r>
          </w:p>
        </w:tc>
      </w:tr>
    </w:tbl>
    <w:p w:rsidR="005856AE" w:rsidRDefault="005856AE">
      <w:pPr>
        <w:ind w:firstLine="0"/>
        <w:jc w:val="left"/>
      </w:pPr>
    </w:p>
    <w:p w:rsidR="005856AE" w:rsidRDefault="005856AE">
      <w:pPr>
        <w:ind w:left="5669" w:right="13" w:firstLine="0"/>
        <w:jc w:val="left"/>
      </w:pPr>
    </w:p>
    <w:p w:rsidR="005856AE" w:rsidRDefault="005856AE">
      <w:pPr>
        <w:ind w:firstLine="0"/>
        <w:jc w:val="center"/>
      </w:pPr>
    </w:p>
    <w:sectPr w:rsidR="005856AE">
      <w:headerReference w:type="default" r:id="rId9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524" w:rsidRDefault="00BA6524">
      <w:r>
        <w:separator/>
      </w:r>
    </w:p>
  </w:endnote>
  <w:endnote w:type="continuationSeparator" w:id="0">
    <w:p w:rsidR="00BA6524" w:rsidRDefault="00BA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524" w:rsidRDefault="00BA6524">
      <w:r>
        <w:separator/>
      </w:r>
    </w:p>
  </w:footnote>
  <w:footnote w:type="continuationSeparator" w:id="0">
    <w:p w:rsidR="00BA6524" w:rsidRDefault="00BA6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6AE" w:rsidRDefault="002E3725">
    <w:pPr>
      <w:jc w:val="center"/>
    </w:pPr>
    <w:r>
      <w:fldChar w:fldCharType="begin"/>
    </w:r>
    <w:r>
      <w:instrText>PAGE</w:instrText>
    </w:r>
    <w:r>
      <w:fldChar w:fldCharType="separate"/>
    </w:r>
    <w:r w:rsidR="00E56B6F">
      <w:rPr>
        <w:noProof/>
      </w:rPr>
      <w:t>5</w:t>
    </w:r>
    <w:r>
      <w:fldChar w:fldCharType="end"/>
    </w:r>
  </w:p>
  <w:p w:rsidR="005856AE" w:rsidRDefault="005856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26507"/>
    <w:multiLevelType w:val="multilevel"/>
    <w:tmpl w:val="295291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3122694"/>
    <w:multiLevelType w:val="multilevel"/>
    <w:tmpl w:val="60C28E6A"/>
    <w:lvl w:ilvl="0">
      <w:start w:val="2"/>
      <w:numFmt w:val="bullet"/>
      <w:lvlText w:val="-"/>
      <w:lvlJc w:val="left"/>
      <w:pPr>
        <w:ind w:left="490" w:hanging="360"/>
      </w:pPr>
      <w:rPr>
        <w:rFonts w:ascii="Times New Roman" w:hAnsi="Times New Roman" w:cs="Times New Roman" w:hint="default"/>
        <w:sz w:val="28"/>
        <w:u w:val="none"/>
      </w:rPr>
    </w:lvl>
    <w:lvl w:ilvl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5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5C1B9F"/>
    <w:multiLevelType w:val="multilevel"/>
    <w:tmpl w:val="A17EF5DA"/>
    <w:lvl w:ilvl="0">
      <w:start w:val="3"/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AE"/>
    <w:rsid w:val="002E3725"/>
    <w:rsid w:val="0048706C"/>
    <w:rsid w:val="005856AE"/>
    <w:rsid w:val="00BA6524"/>
    <w:rsid w:val="00E5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F9E80-55F1-4E7B-B9C3-83F728F5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8"/>
        <w:lang w:val="uk-UA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ind w:firstLine="0"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E6859"/>
  </w:style>
  <w:style w:type="character" w:customStyle="1" w:styleId="a4">
    <w:name w:val="Нижний колонтитул Знак"/>
    <w:basedOn w:val="a0"/>
    <w:uiPriority w:val="99"/>
    <w:qFormat/>
    <w:rsid w:val="006E6859"/>
  </w:style>
  <w:style w:type="character" w:customStyle="1" w:styleId="a5">
    <w:name w:val="Текст выноски Знак"/>
    <w:basedOn w:val="a0"/>
    <w:uiPriority w:val="99"/>
    <w:semiHidden/>
    <w:qFormat/>
    <w:rsid w:val="000C2E44"/>
    <w:rPr>
      <w:rFonts w:ascii="Segoe UI" w:hAnsi="Segoe UI" w:cs="Segoe UI"/>
      <w:sz w:val="18"/>
      <w:szCs w:val="18"/>
    </w:rPr>
  </w:style>
  <w:style w:type="character" w:customStyle="1" w:styleId="a6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Тема примечания Знак"/>
    <w:basedOn w:val="a6"/>
    <w:uiPriority w:val="99"/>
    <w:semiHidden/>
    <w:qFormat/>
    <w:rsid w:val="00512174"/>
    <w:rPr>
      <w:b/>
      <w:bCs/>
      <w:sz w:val="20"/>
      <w:szCs w:val="20"/>
    </w:rPr>
  </w:style>
  <w:style w:type="character" w:customStyle="1" w:styleId="rvts23">
    <w:name w:val="rvts23"/>
    <w:basedOn w:val="a0"/>
    <w:qFormat/>
    <w:rsid w:val="008079F0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Courier New" w:cs="Courier New"/>
    </w:rPr>
  </w:style>
  <w:style w:type="character" w:customStyle="1" w:styleId="ListLabel11">
    <w:name w:val="ListLabel 11"/>
    <w:qFormat/>
    <w:rPr>
      <w:rFonts w:eastAsia="Noto Sans Symbols" w:cs="Noto Sans Symbols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Courier New" w:cs="Courier New"/>
    </w:rPr>
  </w:style>
  <w:style w:type="character" w:customStyle="1" w:styleId="ListLabel14">
    <w:name w:val="ListLabel 14"/>
    <w:qFormat/>
    <w:rPr>
      <w:rFonts w:eastAsia="Noto Sans Symbols" w:cs="Noto Sans Symbols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Courier New" w:cs="Courier New"/>
    </w:rPr>
  </w:style>
  <w:style w:type="character" w:customStyle="1" w:styleId="ListLabel17">
    <w:name w:val="ListLabel 17"/>
    <w:qFormat/>
    <w:rPr>
      <w:rFonts w:eastAsia="Noto Sans Symbols" w:cs="Noto Sans Symbols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rFonts w:eastAsia="Courier New" w:cs="Courier New"/>
    </w:rPr>
  </w:style>
  <w:style w:type="character" w:customStyle="1" w:styleId="ListLabel28">
    <w:name w:val="ListLabel 28"/>
    <w:qFormat/>
    <w:rPr>
      <w:rFonts w:eastAsia="Noto Sans Symbols" w:cs="Noto Sans Symbols"/>
    </w:rPr>
  </w:style>
  <w:style w:type="character" w:customStyle="1" w:styleId="ListLabel29">
    <w:name w:val="ListLabel 29"/>
    <w:qFormat/>
    <w:rPr>
      <w:rFonts w:eastAsia="Noto Sans Symbols" w:cs="Noto Sans Symbols"/>
    </w:rPr>
  </w:style>
  <w:style w:type="character" w:customStyle="1" w:styleId="ListLabel30">
    <w:name w:val="ListLabel 30"/>
    <w:qFormat/>
    <w:rPr>
      <w:rFonts w:eastAsia="Courier New" w:cs="Courier New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Noto Sans Symbols" w:cs="Noto Sans Symbols"/>
    </w:rPr>
  </w:style>
  <w:style w:type="character" w:customStyle="1" w:styleId="ListLabel33">
    <w:name w:val="ListLabel 33"/>
    <w:qFormat/>
    <w:rPr>
      <w:rFonts w:eastAsia="Courier New" w:cs="Courier New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Courier New" w:cs="Courier New"/>
    </w:rPr>
  </w:style>
  <w:style w:type="character" w:customStyle="1" w:styleId="ListLabel44">
    <w:name w:val="ListLabel 44"/>
    <w:qFormat/>
    <w:rPr>
      <w:rFonts w:eastAsia="Noto Sans Symbols" w:cs="Noto Sans Symbols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Courier New" w:cs="Courier New"/>
    </w:rPr>
  </w:style>
  <w:style w:type="character" w:customStyle="1" w:styleId="ListLabel47">
    <w:name w:val="ListLabel 47"/>
    <w:qFormat/>
    <w:rPr>
      <w:rFonts w:eastAsia="Noto Sans Symbols" w:cs="Noto Sans Symbols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Courier New" w:cs="Courier New"/>
    </w:rPr>
  </w:style>
  <w:style w:type="character" w:customStyle="1" w:styleId="ListLabel50">
    <w:name w:val="ListLabel 50"/>
    <w:qFormat/>
    <w:rPr>
      <w:rFonts w:eastAsia="Noto Sans Symbols" w:cs="Noto Sans Symbols"/>
    </w:rPr>
  </w:style>
  <w:style w:type="character" w:customStyle="1" w:styleId="ListLabel51">
    <w:name w:val="ListLabel 51"/>
    <w:qFormat/>
    <w:rPr>
      <w:rFonts w:eastAsia="Courier New" w:cs="Courier New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Noto Sans Symbols" w:cs="Noto Sans Symbols"/>
    </w:rPr>
  </w:style>
  <w:style w:type="character" w:customStyle="1" w:styleId="ListLabel54">
    <w:name w:val="ListLabel 54"/>
    <w:qFormat/>
    <w:rPr>
      <w:rFonts w:eastAsia="Courier New" w:cs="Courier New"/>
    </w:rPr>
  </w:style>
  <w:style w:type="character" w:customStyle="1" w:styleId="ListLabel55">
    <w:name w:val="ListLabel 55"/>
    <w:qFormat/>
    <w:rPr>
      <w:rFonts w:eastAsia="Noto Sans Symbols" w:cs="Noto Sans Symbols"/>
    </w:rPr>
  </w:style>
  <w:style w:type="character" w:customStyle="1" w:styleId="ListLabel56">
    <w:name w:val="ListLabel 56"/>
    <w:qFormat/>
    <w:rPr>
      <w:rFonts w:eastAsia="Noto Sans Symbols" w:cs="Noto Sans Symbols"/>
    </w:rPr>
  </w:style>
  <w:style w:type="character" w:customStyle="1" w:styleId="ListLabel57">
    <w:name w:val="ListLabel 57"/>
    <w:qFormat/>
    <w:rPr>
      <w:rFonts w:eastAsia="Courier New" w:cs="Courier New"/>
    </w:rPr>
  </w:style>
  <w:style w:type="character" w:customStyle="1" w:styleId="ListLabel58">
    <w:name w:val="ListLabel 58"/>
    <w:qFormat/>
    <w:rPr>
      <w:rFonts w:eastAsia="Noto Sans Symbols" w:cs="Noto Sans Symbols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Times New Roman" w:cs="Times New Roman"/>
    </w:rPr>
  </w:style>
  <w:style w:type="character" w:customStyle="1" w:styleId="ListLabel64">
    <w:name w:val="ListLabel 64"/>
    <w:qFormat/>
    <w:rPr>
      <w:rFonts w:eastAsia="Courier New" w:cs="Courier New"/>
    </w:rPr>
  </w:style>
  <w:style w:type="character" w:customStyle="1" w:styleId="ListLabel65">
    <w:name w:val="ListLabel 65"/>
    <w:qFormat/>
    <w:rPr>
      <w:rFonts w:eastAsia="Noto Sans Symbols" w:cs="Noto Sans Symbols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Noto Sans Symbols" w:cs="Noto Sans Symbols"/>
    </w:rPr>
  </w:style>
  <w:style w:type="character" w:customStyle="1" w:styleId="ListLabel69">
    <w:name w:val="ListLabel 69"/>
    <w:qFormat/>
    <w:rPr>
      <w:rFonts w:eastAsia="Noto Sans Symbols" w:cs="Noto Sans Symbols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Noto Sans Symbols" w:cs="Noto Sans Symbols"/>
    </w:rPr>
  </w:style>
  <w:style w:type="character" w:customStyle="1" w:styleId="ListLabel72">
    <w:name w:val="ListLabel 72"/>
    <w:qFormat/>
    <w:rPr>
      <w:rFonts w:eastAsia="Times New Roman" w:cs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eastAsia="Times New Roman" w:cs="Times New Roman"/>
      <w:u w:val="none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eastAsia="Times New Roman" w:cs="Times New Roman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eastAsia="Times New Roman" w:cs="Times New Roman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b/>
      <w:color w:val="000000"/>
    </w:rPr>
  </w:style>
  <w:style w:type="character" w:customStyle="1" w:styleId="a9">
    <w:name w:val="Гіперпосилання"/>
    <w:rPr>
      <w:color w:val="000080"/>
      <w:u w:val="single"/>
    </w:rPr>
  </w:style>
  <w:style w:type="character" w:customStyle="1" w:styleId="ListLabel93">
    <w:name w:val="ListLabel 93"/>
    <w:qFormat/>
  </w:style>
  <w:style w:type="character" w:customStyle="1" w:styleId="ListLabel94">
    <w:name w:val="ListLabel 94"/>
    <w:qFormat/>
    <w:rPr>
      <w:rFonts w:cs="Times New Roman"/>
      <w:u w:val="none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b/>
      <w:color w:val="000000"/>
    </w:rPr>
  </w:style>
  <w:style w:type="character" w:customStyle="1" w:styleId="ListLabel113">
    <w:name w:val="ListLabel 113"/>
    <w:qFormat/>
    <w:rPr>
      <w:rFonts w:cs="Times New Roman"/>
      <w:sz w:val="28"/>
      <w:u w:val="none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8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b/>
      <w:color w:val="00000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1">
    <w:name w:val="header"/>
    <w:basedOn w:val="a"/>
    <w:uiPriority w:val="99"/>
    <w:unhideWhenUsed/>
    <w:rsid w:val="006E6859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6E6859"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semiHidden/>
    <w:unhideWhenUsed/>
    <w:qFormat/>
    <w:rsid w:val="000C2E44"/>
    <w:rPr>
      <w:rFonts w:ascii="Segoe UI" w:hAnsi="Segoe UI" w:cs="Segoe UI"/>
      <w:sz w:val="18"/>
      <w:szCs w:val="18"/>
    </w:rPr>
  </w:style>
  <w:style w:type="paragraph" w:styleId="af4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512174"/>
    <w:rPr>
      <w:b/>
      <w:bCs/>
    </w:rPr>
  </w:style>
  <w:style w:type="paragraph" w:customStyle="1" w:styleId="rvps2">
    <w:name w:val="rvps2"/>
    <w:basedOn w:val="a"/>
    <w:qFormat/>
    <w:rsid w:val="0039097E"/>
    <w:pPr>
      <w:spacing w:beforeAutospacing="1" w:afterAutospacing="1"/>
      <w:ind w:firstLine="0"/>
      <w:jc w:val="left"/>
    </w:pPr>
    <w:rPr>
      <w:sz w:val="24"/>
      <w:szCs w:val="24"/>
      <w:lang w:val="en-US" w:eastAsia="en-US"/>
    </w:rPr>
  </w:style>
  <w:style w:type="paragraph" w:customStyle="1" w:styleId="rvps14">
    <w:name w:val="rvps14"/>
    <w:qFormat/>
    <w:rsid w:val="001A3161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uk-UA"/>
    </w:rPr>
  </w:style>
  <w:style w:type="paragraph" w:styleId="af6">
    <w:name w:val="No Spacing"/>
    <w:uiPriority w:val="1"/>
    <w:qFormat/>
    <w:rsid w:val="00AA4648"/>
    <w:rPr>
      <w:sz w:val="28"/>
      <w:lang w:eastAsia="ru-RU"/>
    </w:rPr>
  </w:style>
  <w:style w:type="paragraph" w:styleId="af7">
    <w:name w:val="Normal (Web)"/>
    <w:basedOn w:val="a"/>
    <w:unhideWhenUsed/>
    <w:qFormat/>
    <w:rsid w:val="008079F0"/>
    <w:pPr>
      <w:spacing w:beforeAutospacing="1" w:afterAutospacing="1"/>
      <w:ind w:firstLine="0"/>
      <w:jc w:val="left"/>
    </w:pPr>
    <w:rPr>
      <w:sz w:val="24"/>
      <w:szCs w:val="24"/>
      <w:lang w:val="ru-RU" w:eastAsia="ru-RU"/>
    </w:rPr>
  </w:style>
  <w:style w:type="paragraph" w:styleId="af8">
    <w:name w:val="List Paragraph"/>
    <w:basedOn w:val="a"/>
    <w:uiPriority w:val="34"/>
    <w:qFormat/>
    <w:rsid w:val="00932100"/>
    <w:pPr>
      <w:ind w:left="720"/>
      <w:contextualSpacing/>
    </w:pPr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17081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Zsm8h+4b5STCl6+GtMMHoTjsA7g==">AMUW2mWszXXQaC4JG8lTtuB6DdcfyR5K5AYIoS8MXtQOXNjDRH6ToLoFYdHMy604hsBDTUvZnorR/p2pQflBnW6CWGh8HWnFI6jGESz0SSszWKbROuBE5gk9mkcGmTi9s4MjB0sljx4EHG/fFu9IOFoUnyhYc8KcG8n9mt5SIidwzXyBEvEcq3jIlFMFDX+5XudBzx4+dxGB5Rhx6JMtuoFmCzrYYIvZLA==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1130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Тимченко</dc:creator>
  <dc:description/>
  <cp:lastModifiedBy>Серга Оксана Григорівна</cp:lastModifiedBy>
  <cp:revision>14</cp:revision>
  <cp:lastPrinted>2021-03-23T10:45:00Z</cp:lastPrinted>
  <dcterms:created xsi:type="dcterms:W3CDTF">2021-03-22T13:46:00Z</dcterms:created>
  <dcterms:modified xsi:type="dcterms:W3CDTF">2021-04-02T13:05:00Z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