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A8" w:rsidRDefault="0082754A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BA37A8" w:rsidRDefault="0082754A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BA37A8" w:rsidRDefault="0082754A">
      <w:pPr>
        <w:ind w:left="5245" w:firstLine="0"/>
        <w:jc w:val="left"/>
      </w:pPr>
      <w:r>
        <w:rPr>
          <w:color w:val="000000"/>
        </w:rPr>
        <w:t>від «</w:t>
      </w:r>
      <w:r w:rsidR="005A086D">
        <w:rPr>
          <w:color w:val="000000"/>
        </w:rPr>
        <w:t>02</w:t>
      </w:r>
      <w:r>
        <w:rPr>
          <w:color w:val="000000"/>
        </w:rPr>
        <w:t xml:space="preserve">» </w:t>
      </w:r>
      <w:r w:rsidR="005A086D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5A086D">
        <w:rPr>
          <w:color w:val="000000"/>
        </w:rPr>
        <w:t>200</w:t>
      </w:r>
      <w:bookmarkStart w:id="0" w:name="_GoBack"/>
      <w:bookmarkEnd w:id="0"/>
    </w:p>
    <w:p w:rsidR="00BA37A8" w:rsidRDefault="00BA37A8">
      <w:pPr>
        <w:ind w:left="5670" w:firstLine="0"/>
        <w:jc w:val="center"/>
        <w:rPr>
          <w:b/>
          <w:color w:val="000000"/>
        </w:rPr>
      </w:pPr>
    </w:p>
    <w:p w:rsidR="00BA37A8" w:rsidRDefault="0082754A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BA37A8" w:rsidRDefault="0082754A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«В» – </w:t>
      </w:r>
      <w:r>
        <w:rPr>
          <w:b/>
          <w:lang w:eastAsia="ru-RU"/>
        </w:rPr>
        <w:t>головного спеціаліста е</w:t>
      </w:r>
      <w:r>
        <w:rPr>
          <w:b/>
          <w:bCs/>
          <w:lang w:eastAsia="ru-RU"/>
        </w:rPr>
        <w:t>кспертної групи з безпеки перевезень небезпечних вантажів</w:t>
      </w:r>
      <w:r>
        <w:rPr>
          <w:b/>
          <w:lang w:eastAsia="ru-RU"/>
        </w:rPr>
        <w:t xml:space="preserve"> Директорату з безпеки на транспорті</w:t>
      </w:r>
    </w:p>
    <w:p w:rsidR="00BA37A8" w:rsidRDefault="00BA37A8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9"/>
        <w:gridCol w:w="2412"/>
        <w:gridCol w:w="6665"/>
      </w:tblGrid>
      <w:tr w:rsidR="00BA37A8">
        <w:trPr>
          <w:trHeight w:val="25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7A8" w:rsidRDefault="0082754A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BA37A8">
        <w:trPr>
          <w:trHeight w:val="743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pStyle w:val="af8"/>
              <w:numPr>
                <w:ilvl w:val="0"/>
                <w:numId w:val="1"/>
              </w:numPr>
              <w:tabs>
                <w:tab w:val="left" w:pos="564"/>
              </w:tabs>
              <w:spacing w:after="60"/>
              <w:ind w:left="0" w:right="113" w:firstLine="0"/>
            </w:pPr>
            <w:r>
              <w:rPr>
                <w:color w:val="333333"/>
                <w:shd w:val="clear" w:color="auto" w:fill="FFFFFF"/>
              </w:rPr>
              <w:t>забезпечення ефективного виконання планів роботи та завдань експертної групи з безпеки перевезень небезпечних вантажів;</w:t>
            </w:r>
          </w:p>
          <w:p w:rsidR="00BA37A8" w:rsidRDefault="0082754A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0" w:right="113" w:firstLine="0"/>
            </w:pPr>
            <w:r>
              <w:rPr>
                <w:color w:val="333333"/>
                <w:shd w:val="clear" w:color="auto" w:fill="FFFFFF"/>
              </w:rPr>
              <w:t xml:space="preserve"> здійснення аналітичної та організаційної роботи стану справ державної політики з безпеки перевезення небезпечних вантажів та екологічної безпеки на залізничному автомобільному, морському та річковому транспорті, щодо зменшення шкідливого впливу цього транспорту на навколишнє природне середовище, аналізу існуючих та виявлення нових проблем у сфері компетенції на основі дослідження статистичних даних, звернень державних органів та органів місцевого самоврядування, звернень громадян, інших джерел інформації;</w:t>
            </w:r>
          </w:p>
          <w:p w:rsidR="00BA37A8" w:rsidRDefault="0082754A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0" w:right="113" w:firstLine="0"/>
            </w:pPr>
            <w:r>
              <w:rPr>
                <w:color w:val="333333"/>
                <w:shd w:val="clear" w:color="auto" w:fill="FFFFFF"/>
              </w:rPr>
              <w:t>здійснення опрацювання матеріалів щодо нормативно-правових актів у сфері безпеки перевезення небезпечних вантажів на автомобільному, залізничному, морському та річковому транспорті, готувати в межах компетенції пропозиції щодо вдосконалення роботи з цих питань;</w:t>
            </w:r>
          </w:p>
          <w:p w:rsidR="00BA37A8" w:rsidRDefault="0082754A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0" w:right="113" w:firstLine="0"/>
            </w:pPr>
            <w:r>
              <w:rPr>
                <w:color w:val="333333"/>
                <w:shd w:val="clear" w:color="auto" w:fill="FFFFFF"/>
              </w:rPr>
              <w:t>здійснення моніторингу та оцінювання результатів реалізації державної політики з питань безпеки перевезення небезпечних вантажів та екологічної безпеки за визначеними показниками поставлених цілей, готувати пропозиції щодо продовження, перегляду або корегування державної політики з питань безпеки перевезення небезпечних вантажів та екологічної безпеки;</w:t>
            </w:r>
          </w:p>
          <w:p w:rsidR="00BA37A8" w:rsidRDefault="0082754A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0" w:right="113" w:firstLine="0"/>
            </w:pPr>
            <w:r>
              <w:rPr>
                <w:color w:val="333333"/>
                <w:shd w:val="clear" w:color="auto" w:fill="FFFFFF"/>
              </w:rPr>
              <w:t xml:space="preserve">підготовка відповідей на запити центральних органів виконавчої влади місцевих державних адміністрацій, органів місцевого самоврядування, а </w:t>
            </w:r>
            <w:r>
              <w:rPr>
                <w:color w:val="333333"/>
                <w:shd w:val="clear" w:color="auto" w:fill="FFFFFF"/>
              </w:rPr>
              <w:lastRenderedPageBreak/>
              <w:t>також підприємств, установ, організацій та громадян з питань, що стосується його компетенції;</w:t>
            </w:r>
          </w:p>
          <w:p w:rsidR="00BA37A8" w:rsidRDefault="0082754A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0" w:right="113" w:firstLine="0"/>
            </w:pPr>
            <w:r>
              <w:rPr>
                <w:color w:val="333333"/>
                <w:shd w:val="clear" w:color="auto" w:fill="FFFFFF"/>
              </w:rPr>
              <w:t>участь у підготовці матеріалів та роботі Міжнародного Транспортного Форуму (Європейської Конференції Міністрів Транспорту Європейської економічної комісії Організації Об’єднаних Націй та інших міжнародних організацій з питань, що належать до компетенції експертної групи.</w:t>
            </w:r>
          </w:p>
        </w:tc>
      </w:tr>
      <w:tr w:rsidR="00BA37A8">
        <w:trPr>
          <w:trHeight w:val="2586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10 600 грн.;</w:t>
            </w:r>
          </w:p>
          <w:p w:rsidR="00BA37A8" w:rsidRDefault="0082754A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BA37A8" w:rsidRDefault="0082754A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A37A8">
        <w:trPr>
          <w:trHeight w:val="1077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BA37A8" w:rsidRDefault="0082754A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BA37A8">
        <w:trPr>
          <w:trHeight w:val="601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BA37A8" w:rsidRDefault="0082754A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BA37A8" w:rsidRDefault="0082754A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BA37A8" w:rsidRDefault="0082754A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BA37A8" w:rsidRDefault="0082754A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BA37A8" w:rsidRDefault="0082754A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BA37A8" w:rsidRDefault="0082754A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BA37A8" w:rsidRDefault="0082754A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</w:t>
            </w:r>
            <w:r>
              <w:lastRenderedPageBreak/>
              <w:t>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BA37A8" w:rsidRDefault="00BA37A8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346"/>
            <w:bookmarkStart w:id="2" w:name="n1334"/>
            <w:bookmarkStart w:id="3" w:name="n343"/>
            <w:bookmarkStart w:id="4" w:name="n1331"/>
            <w:bookmarkEnd w:id="1"/>
            <w:bookmarkEnd w:id="2"/>
            <w:bookmarkEnd w:id="3"/>
            <w:bookmarkEnd w:id="4"/>
          </w:p>
          <w:p w:rsidR="00BA37A8" w:rsidRDefault="0082754A" w:rsidP="00A9748A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t xml:space="preserve">Інформація приймається </w:t>
            </w:r>
            <w:r>
              <w:rPr>
                <w:color w:val="000000"/>
              </w:rPr>
              <w:t xml:space="preserve">до </w:t>
            </w:r>
            <w:r>
              <w:t>1</w:t>
            </w:r>
            <w:r w:rsidR="00A9748A" w:rsidRPr="005A086D">
              <w:rPr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</w:t>
            </w:r>
            <w:r>
              <w:t>1</w:t>
            </w:r>
            <w:r>
              <w:rPr>
                <w:color w:val="000000"/>
              </w:rPr>
              <w:t xml:space="preserve"> року.</w:t>
            </w:r>
            <w:r>
              <w:t xml:space="preserve"> </w:t>
            </w:r>
          </w:p>
        </w:tc>
      </w:tr>
      <w:tr w:rsidR="00BA37A8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BA37A8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BA37A8" w:rsidRDefault="0082754A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BA37A8" w:rsidRDefault="0082754A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BA37A8" w:rsidRDefault="00BA37A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BA37A8" w:rsidRDefault="00BA37A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BA37A8" w:rsidRDefault="0082754A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BA37A8" w:rsidRDefault="00BA37A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BA37A8" w:rsidRDefault="00BA37A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BA37A8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BA37A8">
        <w:trPr>
          <w:trHeight w:val="217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BA37A8">
        <w:trPr>
          <w:trHeight w:val="2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pStyle w:val="af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BA37A8">
        <w:trPr>
          <w:trHeight w:val="13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pStyle w:val="af7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</w:tr>
      <w:tr w:rsidR="00BA37A8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BA37A8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F22BEE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82754A">
                <w:rPr>
                  <w:rStyle w:val="ListLabel92"/>
                </w:rPr>
                <w:t>Вимоги до компетентності</w:t>
              </w:r>
            </w:hyperlink>
          </w:p>
        </w:tc>
      </w:tr>
      <w:tr w:rsidR="00BA37A8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ind w:right="106" w:firstLine="0"/>
            </w:pPr>
            <w:r>
              <w:rPr>
                <w:color w:val="000000"/>
              </w:rPr>
              <w:t>Ефективність координації з іншими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widowControl w:val="0"/>
              <w:numPr>
                <w:ilvl w:val="0"/>
                <w:numId w:val="2"/>
              </w:numPr>
              <w:ind w:left="127" w:right="272" w:firstLine="7"/>
            </w:pPr>
            <w:r>
              <w:rPr>
                <w:color w:val="000000"/>
              </w:rPr>
              <w:t xml:space="preserve">здатність налагоджувати зв'язки з іншими структурними підрозділами державного органу, представниками інших державних органів, </w:t>
            </w:r>
            <w:r>
              <w:t>в тому числі з використанням цифрових технологій</w:t>
            </w:r>
            <w:r>
              <w:rPr>
                <w:color w:val="000000"/>
              </w:rPr>
              <w:t>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127" w:right="272" w:firstLine="7"/>
            </w:pPr>
            <w:r>
              <w:rPr>
                <w:color w:val="000000"/>
              </w:rPr>
              <w:t xml:space="preserve"> уміння конструктивного обміну інформацією, узгодження та упорядкування дій;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ind w:left="127" w:right="272" w:firstLine="7"/>
            </w:pPr>
            <w:r>
              <w:rPr>
                <w:color w:val="000000"/>
              </w:rPr>
              <w:t>здатність до об'єднання та систематизації спільних зусиль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widowControl w:val="0"/>
              <w:tabs>
                <w:tab w:val="left" w:pos="328"/>
              </w:tabs>
              <w:ind w:right="272" w:firstLine="0"/>
            </w:pPr>
            <w:r>
              <w:rPr>
                <w:color w:val="000000"/>
              </w:rPr>
              <w:t>Концептуальне та інноваційне мислення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127" w:right="272" w:firstLine="7"/>
            </w:pPr>
            <w:r>
              <w:rPr>
                <w:color w:val="000000"/>
              </w:rPr>
              <w:t xml:space="preserve"> здатність сприймати інформацію та мислити концептуально;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15"/>
                <w:tab w:val="left" w:pos="416"/>
                <w:tab w:val="left" w:pos="1731"/>
                <w:tab w:val="left" w:pos="3253"/>
                <w:tab w:val="left" w:pos="4560"/>
              </w:tabs>
              <w:ind w:left="127" w:right="272" w:firstLine="7"/>
            </w:pPr>
            <w:r>
              <w:rPr>
                <w:color w:val="000000"/>
              </w:rPr>
              <w:t>здатність формувати закінчені (оформлені) пропозиції;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357"/>
              </w:tabs>
              <w:ind w:left="127" w:right="272" w:firstLine="7"/>
            </w:pPr>
            <w:r>
              <w:rPr>
                <w:color w:val="000000"/>
              </w:rPr>
              <w:t xml:space="preserve"> здатність формувати нові/інноваційні ідеї та підходи;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3"/>
                <w:tab w:val="left" w:pos="424"/>
                <w:tab w:val="left" w:pos="1749"/>
                <w:tab w:val="left" w:pos="3465"/>
                <w:tab w:val="left" w:pos="4934"/>
                <w:tab w:val="left" w:pos="5884"/>
              </w:tabs>
              <w:ind w:left="127" w:right="272" w:firstLine="7"/>
            </w:pPr>
            <w:r>
              <w:rPr>
                <w:color w:val="000000"/>
              </w:rPr>
              <w:t>здатність здійснювати гендерний аналіз в процесі підготовки (оформлення) пропозицій та рішень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widowControl w:val="0"/>
              <w:tabs>
                <w:tab w:val="left" w:pos="328"/>
              </w:tabs>
              <w:ind w:right="272" w:firstLine="0"/>
            </w:pPr>
            <w:r>
              <w:rPr>
                <w:color w:val="000000"/>
              </w:rPr>
              <w:t>Ефективність аналізу та висновків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127" w:right="272" w:firstLine="7"/>
            </w:pPr>
            <w:r>
              <w:rPr>
                <w:color w:val="000000"/>
              </w:rPr>
              <w:t>здатність узагальнювати інформацію, у тому числі з урахуванням гендерної статистики;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328"/>
              </w:tabs>
              <w:ind w:left="127" w:right="272" w:firstLine="7"/>
            </w:pPr>
            <w:r>
              <w:rPr>
                <w:color w:val="000000"/>
              </w:rPr>
              <w:t xml:space="preserve"> здатність встановлювати логічні взаємозв’язки;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328"/>
              </w:tabs>
              <w:ind w:left="127" w:right="272" w:firstLine="7"/>
            </w:pPr>
            <w:r>
              <w:rPr>
                <w:color w:val="000000"/>
              </w:rPr>
              <w:t xml:space="preserve"> здатність робити коректні висновки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</w:pPr>
            <w:r>
              <w:t>4.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widowControl w:val="0"/>
              <w:tabs>
                <w:tab w:val="left" w:pos="328"/>
              </w:tabs>
              <w:ind w:right="272" w:firstLine="0"/>
            </w:pPr>
            <w:r>
              <w:rPr>
                <w:color w:val="000000"/>
              </w:rPr>
              <w:t>Цифрова грамотність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1"/>
              </w:tabs>
              <w:ind w:left="127" w:right="272" w:firstLine="7"/>
            </w:pPr>
            <w:r>
              <w:rPr>
                <w:color w:val="000000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1"/>
              </w:tabs>
              <w:ind w:left="127" w:right="272" w:firstLine="7"/>
            </w:pPr>
            <w:r>
              <w:rPr>
                <w:color w:val="000000"/>
              </w:rPr>
              <w:t xml:space="preserve">вміння використовувати сервіси інтернету для ефективного пошуку  потрібної інформації; вміння перевіряти надійність джерел і достовірність  даних та інформації у цифровому середовищі;  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1"/>
              </w:tabs>
              <w:ind w:left="127" w:right="272" w:firstLine="7"/>
            </w:pPr>
            <w:r>
              <w:rPr>
                <w:color w:val="000000"/>
              </w:rPr>
              <w:t>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1"/>
              </w:tabs>
              <w:ind w:left="127" w:right="272" w:firstLine="7"/>
            </w:pPr>
            <w:r>
              <w:rPr>
                <w:color w:val="000000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1"/>
              </w:tabs>
              <w:ind w:left="127" w:right="272" w:firstLine="7"/>
            </w:pPr>
            <w:r>
              <w:rPr>
                <w:color w:val="000000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 спільного редагування </w:t>
            </w:r>
            <w:r>
              <w:rPr>
                <w:color w:val="000000"/>
              </w:rPr>
              <w:lastRenderedPageBreak/>
              <w:t>документів, вміти користуватись кваліфікованим електронним підписом (КЕП);</w:t>
            </w:r>
          </w:p>
          <w:p w:rsidR="00BA37A8" w:rsidRDefault="0082754A">
            <w:pPr>
              <w:widowControl w:val="0"/>
              <w:numPr>
                <w:ilvl w:val="0"/>
                <w:numId w:val="2"/>
              </w:numPr>
              <w:tabs>
                <w:tab w:val="left" w:pos="328"/>
                <w:tab w:val="left" w:pos="421"/>
              </w:tabs>
              <w:ind w:left="127" w:right="272" w:firstLine="7"/>
            </w:pPr>
            <w:r>
              <w:rPr>
                <w:color w:val="000000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left="118" w:firstLine="0"/>
              <w:jc w:val="left"/>
            </w:pPr>
            <w:r>
              <w:lastRenderedPageBreak/>
              <w:t>5.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BA37A8" w:rsidRDefault="0082754A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A37A8" w:rsidRDefault="0082754A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A37A8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BA37A8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BA37A8" w:rsidRDefault="0082754A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BA37A8" w:rsidRDefault="0082754A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BA37A8" w:rsidRDefault="0082754A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запобігання корупції»</w:t>
            </w:r>
          </w:p>
          <w:p w:rsidR="00BA37A8" w:rsidRDefault="0082754A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BA37A8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spacing w:after="20"/>
              <w:ind w:firstLine="0"/>
              <w:jc w:val="center"/>
            </w:pPr>
            <w: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7A8" w:rsidRDefault="0082754A">
            <w:pPr>
              <w:spacing w:after="20"/>
              <w:ind w:firstLine="0"/>
              <w:jc w:val="left"/>
              <w:rPr>
                <w:b/>
              </w:rPr>
            </w:pPr>
            <w:r>
              <w:t>Знання законодавства у сфері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8" w:rsidRDefault="0082754A">
            <w:pPr>
              <w:tabs>
                <w:tab w:val="left" w:pos="522"/>
              </w:tabs>
              <w:spacing w:after="20"/>
              <w:ind w:left="135" w:right="125" w:firstLine="0"/>
            </w:pPr>
            <w:r>
              <w:t>Знання законодавства у сферах безпеки перевезення небезпечних вантажів автомобільним, залізничним, морським та річковим транспортом, а також з питань безпеки на автомобільному транс</w:t>
            </w:r>
            <w:bookmarkStart w:id="5" w:name="_GoBack1"/>
            <w:bookmarkEnd w:id="5"/>
            <w:r>
              <w:t>порті загального користування, міському електричному, залізничному, морському та річковому транспорті, а також державного нагляду (контролю) за безпекою на автомобільному транспорті загального користування, міському електричному, залізничному, морському та річковому транспорті (крім сфери безпеки мореплавства суден флоту рибної промисловості).</w:t>
            </w:r>
          </w:p>
          <w:p w:rsidR="00BA37A8" w:rsidRDefault="0082754A">
            <w:pPr>
              <w:tabs>
                <w:tab w:val="left" w:pos="412"/>
              </w:tabs>
              <w:spacing w:after="20"/>
              <w:ind w:right="125" w:firstLine="0"/>
            </w:pPr>
            <w:r>
              <w:t xml:space="preserve">  </w:t>
            </w:r>
          </w:p>
        </w:tc>
      </w:tr>
    </w:tbl>
    <w:p w:rsidR="00BA37A8" w:rsidRDefault="00BA37A8">
      <w:pPr>
        <w:ind w:firstLine="0"/>
        <w:jc w:val="left"/>
      </w:pPr>
    </w:p>
    <w:p w:rsidR="00BA37A8" w:rsidRDefault="00BA37A8">
      <w:pPr>
        <w:ind w:left="5669" w:right="13" w:firstLine="0"/>
        <w:jc w:val="left"/>
      </w:pPr>
    </w:p>
    <w:p w:rsidR="00BA37A8" w:rsidRDefault="00BA37A8">
      <w:pPr>
        <w:ind w:firstLine="0"/>
        <w:jc w:val="center"/>
      </w:pPr>
    </w:p>
    <w:sectPr w:rsidR="00BA37A8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EE" w:rsidRDefault="00F22BEE">
      <w:r>
        <w:separator/>
      </w:r>
    </w:p>
  </w:endnote>
  <w:endnote w:type="continuationSeparator" w:id="0">
    <w:p w:rsidR="00F22BEE" w:rsidRDefault="00F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EE" w:rsidRDefault="00F22BEE">
      <w:r>
        <w:separator/>
      </w:r>
    </w:p>
  </w:footnote>
  <w:footnote w:type="continuationSeparator" w:id="0">
    <w:p w:rsidR="00F22BEE" w:rsidRDefault="00F2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7A8" w:rsidRDefault="0082754A">
    <w:pPr>
      <w:jc w:val="center"/>
    </w:pPr>
    <w:r>
      <w:fldChar w:fldCharType="begin"/>
    </w:r>
    <w:r>
      <w:instrText>PAGE</w:instrText>
    </w:r>
    <w:r>
      <w:fldChar w:fldCharType="separate"/>
    </w:r>
    <w:r w:rsidR="005A086D">
      <w:rPr>
        <w:noProof/>
      </w:rPr>
      <w:t>5</w:t>
    </w:r>
    <w:r>
      <w:fldChar w:fldCharType="end"/>
    </w:r>
  </w:p>
  <w:p w:rsidR="00BA37A8" w:rsidRDefault="00BA3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15595"/>
    <w:multiLevelType w:val="multilevel"/>
    <w:tmpl w:val="134CA2DE"/>
    <w:lvl w:ilvl="0">
      <w:start w:val="2"/>
      <w:numFmt w:val="bullet"/>
      <w:lvlText w:val="-"/>
      <w:lvlJc w:val="left"/>
      <w:pPr>
        <w:ind w:left="49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944B17"/>
    <w:multiLevelType w:val="multilevel"/>
    <w:tmpl w:val="0A8C21B0"/>
    <w:lvl w:ilvl="0">
      <w:start w:val="3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E6052F"/>
    <w:multiLevelType w:val="multilevel"/>
    <w:tmpl w:val="191CC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A8"/>
    <w:rsid w:val="005A086D"/>
    <w:rsid w:val="0082754A"/>
    <w:rsid w:val="00A9748A"/>
    <w:rsid w:val="00BA37A8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BDA58-0C29-49BA-A20D-5CCE9E0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Times New Roman" w:cs="Times New Roman"/>
      <w:u w:val="none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rFonts w:cs="Times New Roman"/>
      <w:u w:val="none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b/>
      <w:color w:val="000000"/>
    </w:rPr>
  </w:style>
  <w:style w:type="character" w:customStyle="1" w:styleId="ListLabel113">
    <w:name w:val="ListLabel 113"/>
    <w:qFormat/>
    <w:rPr>
      <w:rFonts w:cs="Times New Roman"/>
      <w:u w:val="none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00000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6">
    <w:name w:val="No Spacing"/>
    <w:uiPriority w:val="1"/>
    <w:qFormat/>
    <w:rsid w:val="00AA4648"/>
    <w:rPr>
      <w:sz w:val="28"/>
      <w:lang w:eastAsia="ru-RU"/>
    </w:rPr>
  </w:style>
  <w:style w:type="paragraph" w:styleId="af7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932100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11</cp:revision>
  <cp:lastPrinted>2021-03-23T10:45:00Z</cp:lastPrinted>
  <dcterms:created xsi:type="dcterms:W3CDTF">2021-03-22T13:46:00Z</dcterms:created>
  <dcterms:modified xsi:type="dcterms:W3CDTF">2021-04-02T13:04:00Z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