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02" w:rsidRDefault="00F95AD3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016B02" w:rsidRDefault="00F95AD3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016B02" w:rsidRDefault="00F95AD3">
      <w:pPr>
        <w:ind w:left="5245" w:firstLine="0"/>
        <w:jc w:val="left"/>
      </w:pPr>
      <w:r>
        <w:rPr>
          <w:color w:val="000000"/>
        </w:rPr>
        <w:t>від «</w:t>
      </w:r>
      <w:r w:rsidR="00C71941">
        <w:rPr>
          <w:color w:val="000000"/>
        </w:rPr>
        <w:t>02</w:t>
      </w:r>
      <w:r>
        <w:rPr>
          <w:color w:val="000000"/>
        </w:rPr>
        <w:t xml:space="preserve">» </w:t>
      </w:r>
      <w:r w:rsidR="00C71941">
        <w:rPr>
          <w:color w:val="000000"/>
        </w:rPr>
        <w:t>квітня</w:t>
      </w:r>
      <w:r>
        <w:rPr>
          <w:color w:val="000000"/>
        </w:rPr>
        <w:t xml:space="preserve"> 2021 р. № </w:t>
      </w:r>
      <w:r w:rsidR="00C71941">
        <w:rPr>
          <w:color w:val="000000"/>
        </w:rPr>
        <w:t>200</w:t>
      </w:r>
      <w:bookmarkStart w:id="0" w:name="_GoBack"/>
      <w:bookmarkEnd w:id="0"/>
    </w:p>
    <w:p w:rsidR="00016B02" w:rsidRDefault="00016B02">
      <w:pPr>
        <w:ind w:left="5670" w:firstLine="0"/>
        <w:jc w:val="center"/>
        <w:rPr>
          <w:b/>
          <w:color w:val="000000"/>
        </w:rPr>
      </w:pPr>
    </w:p>
    <w:p w:rsidR="00016B02" w:rsidRDefault="00F95AD3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016B02" w:rsidRDefault="00F95AD3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«Б» – </w:t>
      </w:r>
      <w:r>
        <w:rPr>
          <w:b/>
          <w:lang w:eastAsia="ru-RU"/>
        </w:rPr>
        <w:t xml:space="preserve">заступника директора Департаменту </w:t>
      </w:r>
      <w:proofErr w:type="spellStart"/>
      <w:r>
        <w:rPr>
          <w:b/>
          <w:lang w:val="ru-RU" w:eastAsia="ru-RU"/>
        </w:rPr>
        <w:t>фінансово-економічної</w:t>
      </w:r>
      <w:proofErr w:type="spellEnd"/>
      <w:r>
        <w:rPr>
          <w:b/>
          <w:lang w:val="ru-RU" w:eastAsia="ru-RU"/>
        </w:rPr>
        <w:t xml:space="preserve"> </w:t>
      </w:r>
      <w:proofErr w:type="spellStart"/>
      <w:r>
        <w:rPr>
          <w:b/>
          <w:lang w:val="ru-RU" w:eastAsia="ru-RU"/>
        </w:rPr>
        <w:t>діяльності</w:t>
      </w:r>
      <w:proofErr w:type="spellEnd"/>
      <w:r>
        <w:rPr>
          <w:b/>
          <w:lang w:val="ru-RU" w:eastAsia="ru-RU"/>
        </w:rPr>
        <w:t xml:space="preserve"> та </w:t>
      </w:r>
      <w:proofErr w:type="spellStart"/>
      <w:r>
        <w:rPr>
          <w:b/>
          <w:lang w:val="ru-RU" w:eastAsia="ru-RU"/>
        </w:rPr>
        <w:t>фінансового</w:t>
      </w:r>
      <w:proofErr w:type="spellEnd"/>
      <w:r>
        <w:rPr>
          <w:b/>
          <w:lang w:val="ru-RU" w:eastAsia="ru-RU"/>
        </w:rPr>
        <w:t xml:space="preserve"> </w:t>
      </w:r>
      <w:proofErr w:type="spellStart"/>
      <w:r>
        <w:rPr>
          <w:b/>
          <w:lang w:val="ru-RU" w:eastAsia="ru-RU"/>
        </w:rPr>
        <w:t>моніторингу</w:t>
      </w:r>
      <w:proofErr w:type="spellEnd"/>
      <w:r>
        <w:rPr>
          <w:b/>
          <w:lang w:val="ru-RU" w:eastAsia="ru-RU"/>
        </w:rPr>
        <w:t xml:space="preserve"> </w:t>
      </w:r>
      <w:r>
        <w:rPr>
          <w:b/>
          <w:lang w:eastAsia="ru-RU"/>
        </w:rPr>
        <w:t>– начальника відділу економічного розвитку та фінансових відносин</w:t>
      </w:r>
    </w:p>
    <w:p w:rsidR="00016B02" w:rsidRDefault="00016B02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92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700"/>
        <w:gridCol w:w="2410"/>
        <w:gridCol w:w="6682"/>
      </w:tblGrid>
      <w:tr w:rsidR="00016B02">
        <w:trPr>
          <w:trHeight w:val="252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B02" w:rsidRDefault="00F95AD3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016B02">
        <w:trPr>
          <w:trHeight w:val="743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113" w:firstLine="283"/>
              <w:jc w:val="both"/>
            </w:pPr>
            <w:r>
              <w:rPr>
                <w:lang w:eastAsia="uk-UA"/>
              </w:rPr>
              <w:t>здійснює керівництво та організовує діяльність відділу, забезпечує удосконалення стилю та методів його роботи;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113" w:firstLine="283"/>
              <w:jc w:val="both"/>
            </w:pPr>
            <w:r>
              <w:rPr>
                <w:lang w:eastAsia="uk-UA"/>
              </w:rPr>
              <w:t>бере участь в процедурі підготовки та надання рішень Міністерства щодо залучення фінансових запозичень (кредитів (позик), надання гарантій або поруки за такими зобов’язаннями) підприємствами галузі;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113" w:firstLine="283"/>
              <w:jc w:val="both"/>
            </w:pPr>
            <w:r>
              <w:rPr>
                <w:lang w:eastAsia="uk-UA"/>
              </w:rPr>
              <w:t>бере участь в процедурі підготовки та надання рішень Міністерства щодо залучення (надання) поворотних безвідсоткових фінансових допомог між підприємствами галузі;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113" w:firstLine="283"/>
              <w:jc w:val="both"/>
            </w:pPr>
            <w:r>
              <w:rPr>
                <w:lang w:eastAsia="uk-UA"/>
              </w:rPr>
              <w:t>бере участь у формуванні та реалізації дивідендної політики, здійснює моніторинг інформації про нарахування та перерахування господарськими товариствами дивідендів у поточному році;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113" w:firstLine="283"/>
              <w:jc w:val="both"/>
            </w:pPr>
            <w:r>
              <w:rPr>
                <w:lang w:eastAsia="uk-UA"/>
              </w:rPr>
              <w:t>бере участь в опрацюванні питань, які потребують розгляду Комісією з розгляду питань стосовно розпорядження майном підприємств галузі;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113" w:firstLine="283"/>
              <w:jc w:val="both"/>
            </w:pPr>
            <w:r>
              <w:rPr>
                <w:lang w:eastAsia="uk-UA"/>
              </w:rPr>
              <w:t>опрацьовує пропозиції з питань оплати праці керівників підприємств галузі під час укладання з ними контрактів, з питань винагороди членам наглядових рад;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57" w:right="113" w:firstLine="283"/>
              <w:jc w:val="both"/>
            </w:pPr>
            <w:r>
              <w:rPr>
                <w:lang w:eastAsia="uk-UA"/>
              </w:rPr>
              <w:t>бере участь у розробленні умов та показників преміювання керівників державних підприємств, що належать до сфери управління Мінінфраструктури, та акціонерних товариств, функції з управління корпоративними правами щодо яких здійснює Мінінфраструктури;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lastRenderedPageBreak/>
              <w:t>бере участь у погодженні організаційних структур підприємств галузі, штатних розписів в частині керівного складу підприємств галузі;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t>на підставі інформації, наданої структурними підрозділами Міністерства, підприємствами галузі, здійснює моніторинг стану виплати заробітної плати працівникам підприємств галузі;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t xml:space="preserve">на підставі наданої структурними підрозділами Міністерства інформації, готує матеріали до засідань Тимчасової комісії Міністерства інфраструктури України з питань погашення заборгованості із заробітної плати та із сплати внесків до державних соціальних фондів, організовує та забезпечує проведення цих засідань; 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t xml:space="preserve">бере участь в опрацюванні </w:t>
            </w:r>
            <w:proofErr w:type="spellStart"/>
            <w:r>
              <w:rPr>
                <w:lang w:eastAsia="uk-UA"/>
              </w:rPr>
              <w:t>проєктів</w:t>
            </w:r>
            <w:proofErr w:type="spellEnd"/>
            <w:r>
              <w:rPr>
                <w:lang w:eastAsia="uk-UA"/>
              </w:rPr>
              <w:t xml:space="preserve"> контрактів з керівниками підприємств галузі у частині фінансово-економічних показників;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t xml:space="preserve">бере участь в опрацюванні звітів керівників підприємств галузі про виконання диференційованих показників ефективності використання державного майна і прибутку, майнового стану підприємства та преміювання, які враховуються під час укладання контракту з керівником підприємства, що є у державній власності; 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t>здійснює моніторинг та узагальнює інформацію щодо залишків коштів підприємств галузі на рахунках банківських установ;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t>бере участь у розробленні схем посадових окладів керівників підприємств галузі та вносить пропозиції з питань оплати їх праці та преміювання під час укладання контрактів;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t>розробляє в межах компетенції проекти нормативно-правових актів;</w:t>
            </w:r>
          </w:p>
          <w:p w:rsidR="00016B02" w:rsidRDefault="00F95AD3">
            <w:pPr>
              <w:pStyle w:val="af7"/>
              <w:numPr>
                <w:ilvl w:val="0"/>
                <w:numId w:val="1"/>
              </w:numPr>
              <w:ind w:left="0" w:right="57" w:firstLine="283"/>
              <w:jc w:val="both"/>
            </w:pPr>
            <w:r>
              <w:rPr>
                <w:lang w:eastAsia="uk-UA"/>
              </w:rPr>
              <w:t>бере участь в опрацювання пропозицій щодо створення економічних умов для розвитку підприємств галузі на конкурентній основі.</w:t>
            </w:r>
          </w:p>
        </w:tc>
      </w:tr>
      <w:tr w:rsidR="00016B02">
        <w:trPr>
          <w:trHeight w:val="2586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tabs>
                <w:tab w:val="left" w:pos="612"/>
              </w:tabs>
              <w:spacing w:after="20"/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посадовий оклад – 16 000 грн.;</w:t>
            </w:r>
          </w:p>
          <w:p w:rsidR="00016B02" w:rsidRDefault="00F95AD3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016B02" w:rsidRDefault="00F95AD3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016B02">
        <w:trPr>
          <w:trHeight w:val="1077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016B02" w:rsidRDefault="00F95AD3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016B02">
        <w:trPr>
          <w:trHeight w:val="601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016B02" w:rsidRDefault="00F95AD3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016B02" w:rsidRDefault="00F95AD3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016B02" w:rsidRDefault="00F95AD3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016B02" w:rsidRDefault="00F95AD3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016B02" w:rsidRDefault="00F95AD3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016B02" w:rsidRDefault="00F95AD3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016B02" w:rsidRDefault="00F95AD3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016B02" w:rsidRDefault="00016B02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1" w:name="n346"/>
            <w:bookmarkStart w:id="2" w:name="n1334"/>
            <w:bookmarkStart w:id="3" w:name="n343"/>
            <w:bookmarkStart w:id="4" w:name="n1331"/>
            <w:bookmarkEnd w:id="1"/>
            <w:bookmarkEnd w:id="2"/>
            <w:bookmarkEnd w:id="3"/>
            <w:bookmarkEnd w:id="4"/>
          </w:p>
          <w:p w:rsidR="00016B02" w:rsidRDefault="00F95AD3" w:rsidP="00921EB1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r>
              <w:rPr>
                <w:color w:val="000000"/>
              </w:rPr>
              <w:t>Інформація приймається до 1</w:t>
            </w:r>
            <w:r w:rsidR="00921EB1" w:rsidRPr="00C71941"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2021 року. </w:t>
            </w:r>
            <w:r>
              <w:t xml:space="preserve"> </w:t>
            </w:r>
          </w:p>
        </w:tc>
      </w:tr>
      <w:tr w:rsidR="00016B02">
        <w:trPr>
          <w:trHeight w:val="1310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Додаткові (необов’язкові) документи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016B02">
        <w:trPr>
          <w:trHeight w:val="1310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016B02" w:rsidRDefault="00F95AD3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016B02" w:rsidRDefault="00F95AD3">
            <w:pPr>
              <w:ind w:left="127" w:right="126" w:firstLine="0"/>
              <w:jc w:val="left"/>
              <w:rPr>
                <w:color w:val="000000"/>
              </w:rPr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16 квітня 2021 року 10 год. 00 хв.</w:t>
            </w:r>
          </w:p>
          <w:p w:rsidR="00016B02" w:rsidRDefault="00016B02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016B02" w:rsidRDefault="00016B02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016B02" w:rsidRDefault="00F95AD3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016B02" w:rsidRDefault="00016B02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016B02" w:rsidRDefault="00016B02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016B02">
        <w:trPr>
          <w:trHeight w:val="1310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27" w:right="126" w:firstLine="0"/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016B02">
        <w:trPr>
          <w:trHeight w:val="217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016B02">
        <w:trPr>
          <w:trHeight w:val="27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наявність вищої освіти ступеня не нижче магістра </w:t>
            </w:r>
          </w:p>
        </w:tc>
      </w:tr>
      <w:tr w:rsidR="00016B02">
        <w:trPr>
          <w:trHeight w:val="131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 w:themeColor="text1"/>
              </w:rPr>
              <w:t>досвід роботи на посадах державної служби категорій «Б» чи «В» або досвід роботи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016B02">
        <w:trPr>
          <w:trHeight w:val="53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016B02">
        <w:trPr>
          <w:trHeight w:val="530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757835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F95AD3">
                <w:rPr>
                  <w:rStyle w:val="ListLabel80"/>
                </w:rPr>
                <w:t>Вимоги до компетентності</w:t>
              </w:r>
            </w:hyperlink>
          </w:p>
        </w:tc>
      </w:tr>
      <w:tr w:rsidR="00016B02">
        <w:trPr>
          <w:trHeight w:val="530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016B02">
        <w:trPr>
          <w:trHeight w:val="53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ind w:left="118" w:firstLine="0"/>
            </w:pPr>
            <w:r>
              <w:t>Прийняття ефективних рішень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widowControl w:val="0"/>
              <w:ind w:right="272" w:firstLine="133"/>
            </w:pPr>
            <w:r>
              <w:rPr>
                <w:color w:val="000000"/>
              </w:rPr>
              <w:t xml:space="preserve"> - здатність приймати вчасні та виважені рішення;</w:t>
            </w:r>
          </w:p>
          <w:p w:rsidR="00016B02" w:rsidRDefault="00F95AD3">
            <w:pPr>
              <w:widowControl w:val="0"/>
              <w:ind w:right="272" w:firstLine="133"/>
            </w:pPr>
            <w:r>
              <w:rPr>
                <w:color w:val="000000"/>
              </w:rPr>
              <w:t xml:space="preserve"> аналіз альтернатив;</w:t>
            </w:r>
          </w:p>
          <w:p w:rsidR="00016B02" w:rsidRDefault="00F95AD3">
            <w:pPr>
              <w:widowControl w:val="0"/>
              <w:ind w:right="272" w:firstLine="133"/>
            </w:pPr>
            <w:r>
              <w:rPr>
                <w:color w:val="000000"/>
              </w:rPr>
              <w:t>- спроможність іти на виважений ризик;</w:t>
            </w:r>
          </w:p>
          <w:p w:rsidR="00016B02" w:rsidRDefault="00F95AD3">
            <w:pPr>
              <w:widowControl w:val="0"/>
              <w:ind w:right="272" w:firstLine="133"/>
            </w:pPr>
            <w:r>
              <w:rPr>
                <w:color w:val="000000"/>
              </w:rPr>
              <w:t xml:space="preserve"> - автономність та ініціативність щодо пропозицій і рішень</w:t>
            </w:r>
          </w:p>
        </w:tc>
      </w:tr>
      <w:tr w:rsidR="00016B02">
        <w:trPr>
          <w:trHeight w:val="53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pStyle w:val="a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організацією роботи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чітке бачення цілі;</w:t>
            </w:r>
          </w:p>
          <w:p w:rsidR="00016B02" w:rsidRDefault="00F95AD3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ефективне управління ресурсами;</w:t>
            </w:r>
          </w:p>
          <w:p w:rsidR="00016B02" w:rsidRDefault="00F95AD3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чітке планування реалізації;</w:t>
            </w:r>
          </w:p>
          <w:p w:rsidR="00016B02" w:rsidRDefault="00F95AD3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ефективне формування та управління процесами.</w:t>
            </w:r>
          </w:p>
        </w:tc>
      </w:tr>
      <w:tr w:rsidR="00016B02">
        <w:trPr>
          <w:trHeight w:val="53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ind w:firstLine="0"/>
            </w:pPr>
            <w:r>
              <w:t>Досягнення результатів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tabs>
                <w:tab w:val="left" w:pos="414"/>
              </w:tabs>
              <w:ind w:right="125" w:firstLine="133"/>
            </w:pPr>
            <w:r>
              <w:t>- здатність до чіткого бачення результату діяльності;</w:t>
            </w:r>
          </w:p>
          <w:p w:rsidR="00016B02" w:rsidRDefault="00F95AD3">
            <w:pPr>
              <w:tabs>
                <w:tab w:val="left" w:pos="414"/>
              </w:tabs>
              <w:ind w:right="125" w:firstLine="133"/>
            </w:pPr>
            <w:r>
              <w:t>вміння фокусувати зусилля для досягнення результату діяльності;</w:t>
            </w:r>
          </w:p>
          <w:p w:rsidR="00016B02" w:rsidRDefault="00F95AD3">
            <w:pPr>
              <w:tabs>
                <w:tab w:val="left" w:pos="414"/>
              </w:tabs>
              <w:ind w:right="125" w:firstLine="133"/>
            </w:pPr>
            <w:r>
              <w:t>- вміння запобігати та ефективно долати перешкоди</w:t>
            </w:r>
          </w:p>
        </w:tc>
      </w:tr>
      <w:tr w:rsidR="00016B02">
        <w:trPr>
          <w:trHeight w:val="53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tabs>
                <w:tab w:val="left" w:pos="1903"/>
              </w:tabs>
              <w:ind w:right="113" w:firstLine="0"/>
            </w:pPr>
            <w:r>
              <w:rPr>
                <w:color w:val="000000"/>
              </w:rPr>
              <w:t>Командна робота та взаємодія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widowControl w:val="0"/>
              <w:numPr>
                <w:ilvl w:val="0"/>
                <w:numId w:val="2"/>
              </w:numPr>
              <w:tabs>
                <w:tab w:val="left" w:pos="416"/>
              </w:tabs>
              <w:ind w:left="0" w:right="272" w:firstLine="133"/>
            </w:pPr>
            <w:r>
              <w:rPr>
                <w:color w:val="000000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016B02" w:rsidRDefault="00F95AD3">
            <w:pPr>
              <w:widowControl w:val="0"/>
              <w:numPr>
                <w:ilvl w:val="0"/>
                <w:numId w:val="2"/>
              </w:numPr>
              <w:ind w:left="0" w:right="272" w:firstLine="133"/>
            </w:pPr>
            <w:r>
              <w:rPr>
                <w:color w:val="000000"/>
              </w:rPr>
              <w:t xml:space="preserve"> орієнтація на командний результат;</w:t>
            </w:r>
          </w:p>
          <w:p w:rsidR="00016B02" w:rsidRDefault="00F95AD3">
            <w:pPr>
              <w:widowControl w:val="0"/>
              <w:numPr>
                <w:ilvl w:val="0"/>
                <w:numId w:val="2"/>
              </w:numPr>
              <w:tabs>
                <w:tab w:val="left" w:pos="363"/>
              </w:tabs>
              <w:ind w:left="0" w:right="272" w:firstLine="133"/>
            </w:pPr>
            <w:r>
              <w:rPr>
                <w:color w:val="000000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016B02" w:rsidRDefault="00F95AD3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ind w:left="0" w:right="272" w:firstLine="133"/>
            </w:pPr>
            <w:r>
              <w:rPr>
                <w:color w:val="000000"/>
              </w:rPr>
              <w:t>відкритість в обміні інформацією</w:t>
            </w:r>
          </w:p>
        </w:tc>
      </w:tr>
      <w:tr w:rsidR="00016B02">
        <w:trPr>
          <w:trHeight w:val="53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left="118" w:firstLine="0"/>
              <w:jc w:val="left"/>
            </w:pPr>
            <w:r>
              <w:t>5.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ind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016B02" w:rsidRDefault="00F95AD3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16B02" w:rsidRDefault="00F95AD3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016B02">
        <w:trPr>
          <w:trHeight w:val="530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Професійні знання</w:t>
            </w:r>
          </w:p>
        </w:tc>
      </w:tr>
      <w:tr w:rsidR="00016B02">
        <w:trPr>
          <w:trHeight w:val="530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016B02">
        <w:trPr>
          <w:trHeight w:val="53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016B02" w:rsidRDefault="00F95AD3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016B02" w:rsidRDefault="00F95AD3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016B02" w:rsidRDefault="00F95AD3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запобігання корупції»</w:t>
            </w:r>
          </w:p>
          <w:p w:rsidR="00016B02" w:rsidRDefault="00F95AD3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016B02">
        <w:trPr>
          <w:trHeight w:val="53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spacing w:after="20"/>
              <w:ind w:firstLine="0"/>
              <w:jc w:val="center"/>
            </w:pPr>
            <w: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02" w:rsidRDefault="00F95AD3">
            <w:pPr>
              <w:spacing w:after="20"/>
              <w:ind w:firstLine="0"/>
              <w:jc w:val="left"/>
              <w:rPr>
                <w:b/>
              </w:rPr>
            </w:pPr>
            <w:r>
              <w:t>Знання законодавства у сфері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B02" w:rsidRDefault="00F95AD3">
            <w:pPr>
              <w:tabs>
                <w:tab w:val="left" w:pos="522"/>
              </w:tabs>
              <w:ind w:left="135" w:right="125" w:hanging="2"/>
            </w:pPr>
            <w:r>
              <w:t>Знання:</w:t>
            </w:r>
          </w:p>
          <w:p w:rsidR="00016B02" w:rsidRDefault="00F95AD3">
            <w:pPr>
              <w:tabs>
                <w:tab w:val="left" w:pos="522"/>
              </w:tabs>
              <w:ind w:left="135" w:right="125" w:hanging="2"/>
            </w:pPr>
            <w:r>
              <w:t>Закон України «Про акціонерні товариства»;</w:t>
            </w:r>
            <w:bookmarkStart w:id="5" w:name="_GoBack1"/>
            <w:bookmarkEnd w:id="5"/>
          </w:p>
          <w:p w:rsidR="00016B02" w:rsidRDefault="00F95AD3">
            <w:pPr>
              <w:tabs>
                <w:tab w:val="left" w:pos="412"/>
              </w:tabs>
              <w:ind w:left="135" w:right="125" w:hanging="2"/>
            </w:pPr>
            <w:r>
              <w:t xml:space="preserve">Закон України «Про управління об’єктами державної власності»; </w:t>
            </w:r>
          </w:p>
          <w:p w:rsidR="00016B02" w:rsidRDefault="00F95AD3">
            <w:pPr>
              <w:tabs>
                <w:tab w:val="left" w:pos="522"/>
              </w:tabs>
              <w:ind w:left="135" w:right="125" w:hanging="2"/>
            </w:pPr>
            <w:bookmarkStart w:id="6" w:name="_heading=h.tyjcwt"/>
            <w:bookmarkEnd w:id="6"/>
            <w:r>
              <w:t xml:space="preserve">Наказ Міністерства економічного розвитку і торгівлі України від 02 березня 2015 року №  205 «Про затвердження Порядку складання, затвердження та </w:t>
            </w:r>
            <w:r>
              <w:lastRenderedPageBreak/>
              <w:t>контролю виконання фінансового плану суб’єкта господарювання державного сектору економіки», зареєстрований в Міністерстві юстиції України 19 березня 2015 року за № 300/26745</w:t>
            </w:r>
          </w:p>
        </w:tc>
      </w:tr>
    </w:tbl>
    <w:p w:rsidR="00016B02" w:rsidRDefault="00016B02">
      <w:pPr>
        <w:ind w:firstLine="0"/>
        <w:jc w:val="left"/>
      </w:pPr>
    </w:p>
    <w:p w:rsidR="00016B02" w:rsidRDefault="00016B02">
      <w:pPr>
        <w:ind w:left="5669" w:right="13" w:firstLine="0"/>
        <w:jc w:val="left"/>
      </w:pPr>
    </w:p>
    <w:p w:rsidR="00016B02" w:rsidRDefault="00016B02">
      <w:pPr>
        <w:ind w:firstLine="0"/>
        <w:jc w:val="center"/>
      </w:pPr>
    </w:p>
    <w:sectPr w:rsidR="00016B02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35" w:rsidRDefault="00757835">
      <w:r>
        <w:separator/>
      </w:r>
    </w:p>
  </w:endnote>
  <w:endnote w:type="continuationSeparator" w:id="0">
    <w:p w:rsidR="00757835" w:rsidRDefault="0075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35" w:rsidRDefault="00757835">
      <w:r>
        <w:separator/>
      </w:r>
    </w:p>
  </w:footnote>
  <w:footnote w:type="continuationSeparator" w:id="0">
    <w:p w:rsidR="00757835" w:rsidRDefault="00757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02" w:rsidRDefault="00F95AD3">
    <w:pPr>
      <w:jc w:val="center"/>
    </w:pPr>
    <w:r>
      <w:fldChar w:fldCharType="begin"/>
    </w:r>
    <w:r>
      <w:instrText>PAGE</w:instrText>
    </w:r>
    <w:r>
      <w:fldChar w:fldCharType="separate"/>
    </w:r>
    <w:r w:rsidR="00C71941">
      <w:rPr>
        <w:noProof/>
      </w:rPr>
      <w:t>6</w:t>
    </w:r>
    <w:r>
      <w:fldChar w:fldCharType="end"/>
    </w:r>
  </w:p>
  <w:p w:rsidR="00016B02" w:rsidRDefault="00016B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35CAB"/>
    <w:multiLevelType w:val="multilevel"/>
    <w:tmpl w:val="C98C881A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A335897"/>
    <w:multiLevelType w:val="multilevel"/>
    <w:tmpl w:val="E59632A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  <w:sz w:val="2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EF29E7"/>
    <w:multiLevelType w:val="multilevel"/>
    <w:tmpl w:val="5CA249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9272B98"/>
    <w:multiLevelType w:val="multilevel"/>
    <w:tmpl w:val="2A820642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02"/>
    <w:rsid w:val="00016B02"/>
    <w:rsid w:val="00757835"/>
    <w:rsid w:val="00921EB1"/>
    <w:rsid w:val="00C71941"/>
    <w:rsid w:val="00F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59FB0-880C-4BA5-A34B-B37DBCFB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aa">
    <w:name w:val="Маркери списку"/>
    <w:qFormat/>
    <w:rPr>
      <w:rFonts w:ascii="OpenSymbol" w:eastAsia="OpenSymbol" w:hAnsi="OpenSymbol" w:cs="OpenSymbol"/>
    </w:rPr>
  </w:style>
  <w:style w:type="character" w:customStyle="1" w:styleId="ListLabel81">
    <w:name w:val="ListLabel 81"/>
    <w:qFormat/>
    <w:rPr>
      <w:rFonts w:cs="OpenSymbol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cs="OpenSymbol"/>
      <w:sz w:val="28"/>
      <w:u w:val="none"/>
    </w:rPr>
  </w:style>
  <w:style w:type="character" w:customStyle="1" w:styleId="ListLabel91">
    <w:name w:val="ListLabel 91"/>
    <w:qFormat/>
    <w:rPr>
      <w:rFonts w:cs="OpenSymbol"/>
      <w:u w:val="none"/>
    </w:rPr>
  </w:style>
  <w:style w:type="character" w:customStyle="1" w:styleId="ListLabel92">
    <w:name w:val="ListLabel 92"/>
    <w:qFormat/>
    <w:rPr>
      <w:rFonts w:cs="OpenSymbol"/>
      <w:u w:val="none"/>
    </w:rPr>
  </w:style>
  <w:style w:type="character" w:customStyle="1" w:styleId="ListLabel93">
    <w:name w:val="ListLabel 93"/>
    <w:qFormat/>
    <w:rPr>
      <w:rFonts w:cs="OpenSymbol"/>
      <w:u w:val="none"/>
    </w:rPr>
  </w:style>
  <w:style w:type="character" w:customStyle="1" w:styleId="ListLabel94">
    <w:name w:val="ListLabel 94"/>
    <w:qFormat/>
    <w:rPr>
      <w:rFonts w:cs="OpenSymbol"/>
      <w:u w:val="none"/>
    </w:rPr>
  </w:style>
  <w:style w:type="character" w:customStyle="1" w:styleId="ListLabel95">
    <w:name w:val="ListLabel 95"/>
    <w:qFormat/>
    <w:rPr>
      <w:rFonts w:cs="OpenSymbol"/>
      <w:u w:val="none"/>
    </w:rPr>
  </w:style>
  <w:style w:type="character" w:customStyle="1" w:styleId="ListLabel96">
    <w:name w:val="ListLabel 96"/>
    <w:qFormat/>
    <w:rPr>
      <w:rFonts w:cs="OpenSymbol"/>
      <w:u w:val="none"/>
    </w:rPr>
  </w:style>
  <w:style w:type="character" w:customStyle="1" w:styleId="ListLabel97">
    <w:name w:val="ListLabel 97"/>
    <w:qFormat/>
    <w:rPr>
      <w:rFonts w:cs="OpenSymbol"/>
      <w:u w:val="none"/>
    </w:rPr>
  </w:style>
  <w:style w:type="character" w:customStyle="1" w:styleId="ListLabel98">
    <w:name w:val="ListLabel 98"/>
    <w:qFormat/>
    <w:rPr>
      <w:rFonts w:cs="OpenSymbol"/>
      <w:u w:val="none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b/>
      <w:color w:val="000000"/>
      <w:sz w:val="28"/>
      <w:szCs w:val="28"/>
    </w:rPr>
  </w:style>
  <w:style w:type="character" w:customStyle="1" w:styleId="ListLabel109">
    <w:name w:val="ListLabel 109"/>
    <w:qFormat/>
    <w:rPr>
      <w:rFonts w:cs="OpenSymbol"/>
      <w:sz w:val="28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Noto Sans Symbols"/>
    </w:rPr>
  </w:style>
  <w:style w:type="character" w:customStyle="1" w:styleId="ListLabel112">
    <w:name w:val="ListLabel 112"/>
    <w:qFormat/>
    <w:rPr>
      <w:rFonts w:cs="Noto Sans Symbols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Noto Sans Symbols"/>
    </w:rPr>
  </w:style>
  <w:style w:type="character" w:customStyle="1" w:styleId="ListLabel115">
    <w:name w:val="ListLabel 115"/>
    <w:qFormat/>
    <w:rPr>
      <w:rFonts w:cs="Noto Sans Symbols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Noto Sans Symbols"/>
    </w:rPr>
  </w:style>
  <w:style w:type="character" w:customStyle="1" w:styleId="ListLabel118">
    <w:name w:val="ListLabel 118"/>
    <w:qFormat/>
    <w:rPr>
      <w:rFonts w:cs="OpenSymbol"/>
      <w:sz w:val="28"/>
      <w:u w:val="none"/>
    </w:rPr>
  </w:style>
  <w:style w:type="character" w:customStyle="1" w:styleId="ListLabel119">
    <w:name w:val="ListLabel 119"/>
    <w:qFormat/>
    <w:rPr>
      <w:rFonts w:cs="OpenSymbol"/>
      <w:u w:val="none"/>
    </w:rPr>
  </w:style>
  <w:style w:type="character" w:customStyle="1" w:styleId="ListLabel120">
    <w:name w:val="ListLabel 120"/>
    <w:qFormat/>
    <w:rPr>
      <w:rFonts w:cs="OpenSymbol"/>
      <w:u w:val="none"/>
    </w:rPr>
  </w:style>
  <w:style w:type="character" w:customStyle="1" w:styleId="ListLabel121">
    <w:name w:val="ListLabel 121"/>
    <w:qFormat/>
    <w:rPr>
      <w:rFonts w:cs="OpenSymbol"/>
      <w:u w:val="none"/>
    </w:rPr>
  </w:style>
  <w:style w:type="character" w:customStyle="1" w:styleId="ListLabel122">
    <w:name w:val="ListLabel 122"/>
    <w:qFormat/>
    <w:rPr>
      <w:rFonts w:cs="OpenSymbol"/>
      <w:u w:val="none"/>
    </w:rPr>
  </w:style>
  <w:style w:type="character" w:customStyle="1" w:styleId="ListLabel123">
    <w:name w:val="ListLabel 123"/>
    <w:qFormat/>
    <w:rPr>
      <w:rFonts w:cs="OpenSymbol"/>
      <w:u w:val="none"/>
    </w:rPr>
  </w:style>
  <w:style w:type="character" w:customStyle="1" w:styleId="ListLabel124">
    <w:name w:val="ListLabel 124"/>
    <w:qFormat/>
    <w:rPr>
      <w:rFonts w:cs="OpenSymbol"/>
      <w:u w:val="none"/>
    </w:rPr>
  </w:style>
  <w:style w:type="character" w:customStyle="1" w:styleId="ListLabel125">
    <w:name w:val="ListLabel 125"/>
    <w:qFormat/>
    <w:rPr>
      <w:rFonts w:cs="OpenSymbol"/>
      <w:u w:val="none"/>
    </w:rPr>
  </w:style>
  <w:style w:type="character" w:customStyle="1" w:styleId="ListLabel126">
    <w:name w:val="ListLabel 126"/>
    <w:qFormat/>
    <w:rPr>
      <w:rFonts w:cs="OpenSymbol"/>
      <w:u w:val="none"/>
    </w:rPr>
  </w:style>
  <w:style w:type="character" w:customStyle="1" w:styleId="ListLabel127">
    <w:name w:val="ListLabel 127"/>
    <w:qFormat/>
    <w:rPr>
      <w:rFonts w:cs="Times New Roman"/>
      <w:sz w:val="28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b/>
      <w:color w:val="000000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7">
    <w:name w:val="No Spacing"/>
    <w:uiPriority w:val="1"/>
    <w:qFormat/>
    <w:rsid w:val="00AA4648"/>
    <w:rPr>
      <w:sz w:val="28"/>
      <w:lang w:eastAsia="ru-RU"/>
    </w:rPr>
  </w:style>
  <w:style w:type="paragraph" w:styleId="af8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1232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11</cp:revision>
  <cp:lastPrinted>2021-02-23T14:31:00Z</cp:lastPrinted>
  <dcterms:created xsi:type="dcterms:W3CDTF">2021-03-22T11:33:00Z</dcterms:created>
  <dcterms:modified xsi:type="dcterms:W3CDTF">2021-04-02T13:03:00Z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