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08" w:rsidRDefault="00EF6A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:rsidR="00FE3808" w:rsidRDefault="00EF6A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проєкту постанови Кабінету Міністрів України </w:t>
      </w:r>
    </w:p>
    <w:p w:rsidR="006D72B7" w:rsidRDefault="00EF6AEF" w:rsidP="006D72B7">
      <w:pPr>
        <w:tabs>
          <w:tab w:val="left" w:pos="284"/>
        </w:tabs>
        <w:ind w:left="284" w:right="2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6D72B7" w:rsidRPr="00536FB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внесення змін до деяких постанов Кабінету Міністрів України </w:t>
      </w:r>
    </w:p>
    <w:p w:rsidR="00FE3808" w:rsidRPr="006D72B7" w:rsidRDefault="006D72B7" w:rsidP="006D72B7">
      <w:pPr>
        <w:tabs>
          <w:tab w:val="left" w:pos="284"/>
        </w:tabs>
        <w:ind w:left="284" w:right="28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6FBA">
        <w:rPr>
          <w:rFonts w:ascii="Times New Roman" w:eastAsia="Times New Roman" w:hAnsi="Times New Roman" w:cs="Times New Roman"/>
          <w:b/>
          <w:sz w:val="28"/>
          <w:szCs w:val="28"/>
        </w:rPr>
        <w:t>щодо розроб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лення</w:t>
      </w:r>
      <w:r w:rsidRPr="006C24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містобудівної документації на місцевому рівні</w:t>
      </w:r>
      <w:r w:rsidR="00EF6AEF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923503" w:rsidRDefault="009235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808" w:rsidRDefault="00EF6AEF">
      <w:pPr>
        <w:spacing w:after="120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:rsidR="00923503" w:rsidRDefault="00EF6AEF" w:rsidP="003B68E0">
      <w:pPr>
        <w:spacing w:after="24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Метою проєкту постанови Кабінету Міністрів України “</w:t>
      </w:r>
      <w:r w:rsidR="006D72B7" w:rsidRPr="006D72B7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деяких постанов Кабінету Міністрів України щодо розроблення</w:t>
      </w:r>
      <w:r w:rsidR="006D72B7" w:rsidRPr="006D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містобудівної документації на місцевому рівні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(далі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постанови) є </w:t>
      </w:r>
      <w:r w:rsidR="00923503">
        <w:rPr>
          <w:rFonts w:ascii="Times New Roman" w:eastAsia="Times New Roman" w:hAnsi="Times New Roman" w:cs="Times New Roman"/>
          <w:sz w:val="28"/>
          <w:szCs w:val="28"/>
        </w:rPr>
        <w:t>вдосконалення вимог</w:t>
      </w:r>
      <w:r w:rsidR="00923503" w:rsidRPr="00157870">
        <w:rPr>
          <w:rFonts w:ascii="Times New Roman" w:eastAsia="Times New Roman" w:hAnsi="Times New Roman" w:cs="Times New Roman"/>
          <w:sz w:val="28"/>
          <w:szCs w:val="28"/>
        </w:rPr>
        <w:t xml:space="preserve"> до розроблення, оновлення, внесення змін та затвердження, а також складу та змісту</w:t>
      </w:r>
      <w:r w:rsidR="00923503">
        <w:rPr>
          <w:rFonts w:ascii="Times New Roman" w:eastAsia="Times New Roman" w:hAnsi="Times New Roman" w:cs="Times New Roman"/>
          <w:sz w:val="28"/>
          <w:szCs w:val="28"/>
        </w:rPr>
        <w:t xml:space="preserve"> містобудівної документації на місцевому рівні, забезпечення </w:t>
      </w:r>
      <w:proofErr w:type="spellStart"/>
      <w:r w:rsidR="00923503">
        <w:rPr>
          <w:rFonts w:ascii="Times New Roman" w:eastAsia="Times New Roman" w:hAnsi="Times New Roman" w:cs="Times New Roman"/>
          <w:sz w:val="28"/>
          <w:szCs w:val="28"/>
        </w:rPr>
        <w:t>взаєзв</w:t>
      </w:r>
      <w:r w:rsidR="00923503" w:rsidRPr="006D72B7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923503">
        <w:rPr>
          <w:rFonts w:ascii="Times New Roman" w:eastAsia="Times New Roman" w:hAnsi="Times New Roman" w:cs="Times New Roman"/>
          <w:sz w:val="28"/>
          <w:szCs w:val="28"/>
        </w:rPr>
        <w:t>язності</w:t>
      </w:r>
      <w:proofErr w:type="spellEnd"/>
      <w:r w:rsidR="00923503">
        <w:rPr>
          <w:rFonts w:ascii="Times New Roman" w:eastAsia="Times New Roman" w:hAnsi="Times New Roman" w:cs="Times New Roman"/>
          <w:sz w:val="28"/>
          <w:szCs w:val="28"/>
        </w:rPr>
        <w:t xml:space="preserve"> містобудівної та землевпорядної складових містобудівної документації, приведення уніфікованих баз </w:t>
      </w:r>
      <w:proofErr w:type="spellStart"/>
      <w:r w:rsidR="00923503">
        <w:rPr>
          <w:rFonts w:ascii="Times New Roman" w:eastAsia="Times New Roman" w:hAnsi="Times New Roman" w:cs="Times New Roman"/>
          <w:sz w:val="28"/>
          <w:szCs w:val="28"/>
        </w:rPr>
        <w:t>геопросторових</w:t>
      </w:r>
      <w:proofErr w:type="spellEnd"/>
      <w:r w:rsidR="00923503">
        <w:rPr>
          <w:rFonts w:ascii="Times New Roman" w:eastAsia="Times New Roman" w:hAnsi="Times New Roman" w:cs="Times New Roman"/>
          <w:sz w:val="28"/>
          <w:szCs w:val="28"/>
        </w:rPr>
        <w:t xml:space="preserve"> даних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містобудівної документації </w:t>
      </w:r>
      <w:r w:rsidR="00923503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3503">
        <w:rPr>
          <w:rFonts w:ascii="Times New Roman" w:eastAsia="Times New Roman" w:hAnsi="Times New Roman" w:cs="Times New Roman"/>
          <w:sz w:val="28"/>
          <w:szCs w:val="28"/>
        </w:rPr>
        <w:t xml:space="preserve">вимог Містобудівного кадастру </w:t>
      </w:r>
      <w:r w:rsidR="00666A49">
        <w:rPr>
          <w:rFonts w:ascii="Times New Roman" w:eastAsia="Times New Roman" w:hAnsi="Times New Roman" w:cs="Times New Roman"/>
          <w:sz w:val="28"/>
          <w:szCs w:val="28"/>
        </w:rPr>
        <w:t>на державному рівні</w:t>
      </w:r>
      <w:r w:rsidR="00923503">
        <w:rPr>
          <w:rFonts w:ascii="Times New Roman" w:eastAsia="Times New Roman" w:hAnsi="Times New Roman" w:cs="Times New Roman"/>
          <w:sz w:val="28"/>
          <w:szCs w:val="28"/>
        </w:rPr>
        <w:t xml:space="preserve"> та визначення класифікації об</w:t>
      </w:r>
      <w:r w:rsidR="00923503" w:rsidRPr="006D72B7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923503">
        <w:rPr>
          <w:rFonts w:ascii="Times New Roman" w:eastAsia="Times New Roman" w:hAnsi="Times New Roman" w:cs="Times New Roman"/>
          <w:sz w:val="28"/>
          <w:szCs w:val="28"/>
        </w:rPr>
        <w:t>єктів містобудування.</w:t>
      </w:r>
    </w:p>
    <w:p w:rsidR="00FE3808" w:rsidRDefault="00EF6AEF">
      <w:pPr>
        <w:spacing w:after="120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Обґрунтування необхідності прийняття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:rsidR="00923503" w:rsidRDefault="00923503" w:rsidP="009235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1BE">
        <w:rPr>
          <w:rFonts w:ascii="Times New Roman" w:eastAsia="Times New Roman" w:hAnsi="Times New Roman" w:cs="Times New Roman"/>
          <w:sz w:val="28"/>
          <w:szCs w:val="28"/>
        </w:rPr>
        <w:t>Розроблення містобудівної документації на місцевому рівні у вигляді електронних документів уніфікованого формату дозвол</w:t>
      </w:r>
      <w:r>
        <w:rPr>
          <w:rFonts w:ascii="Times New Roman" w:eastAsia="Times New Roman" w:hAnsi="Times New Roman" w:cs="Times New Roman"/>
          <w:sz w:val="28"/>
          <w:szCs w:val="28"/>
        </w:rPr>
        <w:t>яє</w:t>
      </w:r>
      <w:r w:rsidRPr="00F811BE">
        <w:rPr>
          <w:rFonts w:ascii="Times New Roman" w:eastAsia="Times New Roman" w:hAnsi="Times New Roman" w:cs="Times New Roman"/>
          <w:sz w:val="28"/>
          <w:szCs w:val="28"/>
        </w:rPr>
        <w:t xml:space="preserve"> оптимізувати розробку містобудівної документації, а також її перевірку та затвердження, створить можливість для державних органів та органів місцевого самоврядування виконувати власні повноваження в повному обсязі, забезпечить доступ громадян, землевласників та землекористувачів до актуальної та об’єктивної інформації щодо об’єктів містобудування, в тому числі земельних ділянок, нерухомого майна та обмежень у використанні земель.</w:t>
      </w:r>
    </w:p>
    <w:p w:rsidR="00923503" w:rsidRPr="00923503" w:rsidRDefault="00923503" w:rsidP="009235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03E">
        <w:rPr>
          <w:rFonts w:ascii="Times New Roman" w:eastAsia="Times New Roman" w:hAnsi="Times New Roman" w:cs="Times New Roman"/>
          <w:sz w:val="28"/>
          <w:szCs w:val="28"/>
        </w:rPr>
        <w:t xml:space="preserve">Разом з 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E7003E">
        <w:rPr>
          <w:rFonts w:ascii="Times New Roman" w:eastAsia="Times New Roman" w:hAnsi="Times New Roman" w:cs="Times New Roman"/>
          <w:sz w:val="28"/>
          <w:szCs w:val="28"/>
        </w:rPr>
        <w:t xml:space="preserve">им, </w:t>
      </w:r>
      <w:r w:rsidRPr="003B66D2">
        <w:rPr>
          <w:rFonts w:ascii="Times New Roman" w:eastAsia="Times New Roman" w:hAnsi="Times New Roman" w:cs="Times New Roman"/>
          <w:sz w:val="28"/>
          <w:szCs w:val="28"/>
        </w:rPr>
        <w:t xml:space="preserve">розроблення пілотних проектів містобудівної документації на місцевому рівні </w:t>
      </w:r>
      <w:r w:rsidRPr="00E7003E">
        <w:rPr>
          <w:rFonts w:ascii="Times New Roman" w:eastAsia="Times New Roman" w:hAnsi="Times New Roman" w:cs="Times New Roman"/>
          <w:sz w:val="28"/>
          <w:szCs w:val="28"/>
        </w:rPr>
        <w:t xml:space="preserve">під час реалізації положень 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>якого</w:t>
      </w:r>
      <w:r w:rsidRPr="00E700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870">
        <w:rPr>
          <w:rFonts w:ascii="Times New Roman" w:eastAsia="Times New Roman" w:hAnsi="Times New Roman" w:cs="Times New Roman"/>
          <w:sz w:val="28"/>
          <w:szCs w:val="28"/>
        </w:rPr>
        <w:t xml:space="preserve">показало, що існує необхідність перегляду </w:t>
      </w:r>
      <w:r>
        <w:rPr>
          <w:rFonts w:ascii="Times New Roman" w:eastAsia="Times New Roman" w:hAnsi="Times New Roman" w:cs="Times New Roman"/>
          <w:sz w:val="28"/>
          <w:szCs w:val="28"/>
        </w:rPr>
        <w:t>певних вимог</w:t>
      </w:r>
      <w:r w:rsidRPr="00157870">
        <w:rPr>
          <w:rFonts w:ascii="Times New Roman" w:eastAsia="Times New Roman" w:hAnsi="Times New Roman" w:cs="Times New Roman"/>
          <w:sz w:val="28"/>
          <w:szCs w:val="28"/>
        </w:rPr>
        <w:t xml:space="preserve"> до її розроблення, оновлення, внесення змін та затвердження, а також складу та змісту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Відповідно, </w:t>
      </w:r>
      <w:r w:rsidRPr="00E7003E">
        <w:rPr>
          <w:rFonts w:ascii="Times New Roman" w:eastAsia="Times New Roman" w:hAnsi="Times New Roman" w:cs="Times New Roman"/>
          <w:sz w:val="28"/>
          <w:szCs w:val="28"/>
        </w:rPr>
        <w:t xml:space="preserve">було визначено необхідність </w:t>
      </w:r>
      <w:r w:rsidRPr="00E7003E">
        <w:rPr>
          <w:rFonts w:ascii="Times New Roman" w:hAnsi="Times New Roman" w:cs="Times New Roman"/>
          <w:sz w:val="28"/>
          <w:szCs w:val="28"/>
        </w:rPr>
        <w:t xml:space="preserve">вдосконалення </w:t>
      </w:r>
      <w:r>
        <w:rPr>
          <w:rFonts w:ascii="Times New Roman" w:hAnsi="Times New Roman" w:cs="Times New Roman"/>
          <w:sz w:val="28"/>
          <w:szCs w:val="28"/>
        </w:rPr>
        <w:t xml:space="preserve">Порядку розроблення, оновлення, внесення змін та затвердження </w:t>
      </w:r>
      <w:r w:rsidRPr="00E7003E">
        <w:rPr>
          <w:rFonts w:ascii="Times New Roman" w:hAnsi="Times New Roman" w:cs="Times New Roman"/>
          <w:sz w:val="28"/>
          <w:szCs w:val="28"/>
        </w:rPr>
        <w:t>містобудівної документації</w:t>
      </w:r>
      <w:r w:rsidR="00A77F58">
        <w:rPr>
          <w:rFonts w:ascii="Times New Roman" w:hAnsi="Times New Roman" w:cs="Times New Roman"/>
          <w:sz w:val="28"/>
          <w:szCs w:val="28"/>
        </w:rPr>
        <w:t xml:space="preserve">, </w:t>
      </w:r>
      <w:r w:rsidRPr="00DD458B"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D458B">
        <w:rPr>
          <w:rFonts w:ascii="Times New Roman" w:eastAsia="Times New Roman" w:hAnsi="Times New Roman" w:cs="Times New Roman"/>
          <w:sz w:val="28"/>
          <w:szCs w:val="28"/>
        </w:rPr>
        <w:t xml:space="preserve"> постановою 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 xml:space="preserve">Кабінету Міністрів України </w:t>
      </w:r>
      <w:r w:rsidRPr="00DD458B">
        <w:rPr>
          <w:rFonts w:ascii="Times New Roman" w:eastAsia="Times New Roman" w:hAnsi="Times New Roman" w:cs="Times New Roman"/>
          <w:sz w:val="28"/>
          <w:szCs w:val="28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 xml:space="preserve">1 вересня 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926, далі – Порядок), а також низки інших актів Кабінету Міністрів України.</w:t>
      </w:r>
    </w:p>
    <w:p w:rsidR="00923503" w:rsidRDefault="00923503" w:rsidP="00923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того, існує необхідність в</w:t>
      </w:r>
      <w:r w:rsidRPr="00454CC0">
        <w:rPr>
          <w:rFonts w:ascii="Times New Roman" w:hAnsi="Times New Roman" w:cs="Times New Roman"/>
          <w:sz w:val="28"/>
          <w:szCs w:val="28"/>
        </w:rPr>
        <w:t>рахув</w:t>
      </w:r>
      <w:r>
        <w:rPr>
          <w:rFonts w:ascii="Times New Roman" w:hAnsi="Times New Roman" w:cs="Times New Roman"/>
          <w:sz w:val="28"/>
          <w:szCs w:val="28"/>
        </w:rPr>
        <w:t>ання положень</w:t>
      </w:r>
      <w:r w:rsidRPr="00454CC0">
        <w:rPr>
          <w:rFonts w:ascii="Times New Roman" w:hAnsi="Times New Roman" w:cs="Times New Roman"/>
          <w:sz w:val="28"/>
          <w:szCs w:val="28"/>
        </w:rPr>
        <w:t xml:space="preserve"> змін до Закону України «Про культурну спадщину» в частині визначення та погодження меж та режимів історичних ареалів населених місць</w:t>
      </w:r>
      <w:r>
        <w:rPr>
          <w:rFonts w:ascii="Times New Roman" w:hAnsi="Times New Roman" w:cs="Times New Roman"/>
          <w:sz w:val="28"/>
          <w:szCs w:val="28"/>
        </w:rPr>
        <w:t xml:space="preserve">, а також врахування </w:t>
      </w:r>
      <w:r w:rsidRPr="00454CC0">
        <w:rPr>
          <w:rFonts w:ascii="Times New Roman" w:hAnsi="Times New Roman" w:cs="Times New Roman"/>
          <w:sz w:val="28"/>
          <w:szCs w:val="28"/>
        </w:rPr>
        <w:t>особливості застосування авторських та суміжних прав щодо містобудівної документації відповідно до положень Закону України «Про авторські та суміжні права»</w:t>
      </w:r>
      <w:r>
        <w:rPr>
          <w:rFonts w:ascii="Times New Roman" w:hAnsi="Times New Roman" w:cs="Times New Roman"/>
          <w:sz w:val="28"/>
          <w:szCs w:val="28"/>
        </w:rPr>
        <w:t>, приведення с</w:t>
      </w:r>
      <w:r w:rsidRPr="00454CC0">
        <w:rPr>
          <w:rFonts w:ascii="Times New Roman" w:hAnsi="Times New Roman" w:cs="Times New Roman"/>
          <w:sz w:val="28"/>
          <w:szCs w:val="28"/>
        </w:rPr>
        <w:t>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4CC0">
        <w:rPr>
          <w:rFonts w:ascii="Times New Roman" w:hAnsi="Times New Roman" w:cs="Times New Roman"/>
          <w:sz w:val="28"/>
          <w:szCs w:val="28"/>
        </w:rPr>
        <w:t xml:space="preserve"> містобудівної документації у відповідність з положеннями Закону України «Про регулювання містобудівної діяльності»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0D6" w:rsidRDefault="00C510D6">
      <w:pPr>
        <w:widowControl w:val="0"/>
        <w:spacing w:after="120"/>
        <w:ind w:right="-40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808" w:rsidRDefault="00EF6AEF">
      <w:pPr>
        <w:widowControl w:val="0"/>
        <w:spacing w:after="120"/>
        <w:ind w:right="-40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Основні положення проєкту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:rsidR="00923503" w:rsidRDefault="00EF6AEF" w:rsidP="009235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пропонується</w:t>
      </w:r>
      <w:r w:rsidR="00923503" w:rsidRPr="00923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3503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="00923503">
        <w:rPr>
          <w:rFonts w:ascii="Times New Roman" w:eastAsia="Times New Roman" w:hAnsi="Times New Roman" w:cs="Times New Roman"/>
          <w:sz w:val="28"/>
          <w:szCs w:val="28"/>
        </w:rPr>
        <w:t xml:space="preserve"> зміни до:</w:t>
      </w:r>
    </w:p>
    <w:p w:rsidR="00923503" w:rsidRDefault="00923503" w:rsidP="009235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7641640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Порядку розроблення, оновлення, внесення змін та затвердження містобудівної документації, затвердженого постановою Кабінету Міністрів України 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</w:rPr>
        <w:t>1 вересня 2021 р. № 926;</w:t>
      </w:r>
    </w:p>
    <w:p w:rsidR="00923503" w:rsidRDefault="00923503" w:rsidP="009235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 від 9 червня 2021 р. № 632 “Про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території”;</w:t>
      </w:r>
    </w:p>
    <w:p w:rsidR="00A77F58" w:rsidRDefault="00A77F58" w:rsidP="009235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Pr="009B7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Кабінету Міністрів України </w:t>
      </w:r>
      <w:r w:rsidRPr="009B7254">
        <w:rPr>
          <w:rFonts w:ascii="Times New Roman" w:hAnsi="Times New Roman" w:cs="Times New Roman"/>
          <w:bCs/>
          <w:sz w:val="28"/>
          <w:szCs w:val="28"/>
        </w:rPr>
        <w:t xml:space="preserve">від 9 серпня 2024 р. № 909 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9B7254">
        <w:rPr>
          <w:rFonts w:ascii="Times New Roman" w:eastAsia="Times New Roman" w:hAnsi="Times New Roman" w:cs="Times New Roman"/>
          <w:sz w:val="28"/>
          <w:szCs w:val="28"/>
        </w:rPr>
        <w:t>Деякі питання реалізації експериментального проекту щодо запровадження Містобудівного кадастру на державному рівні</w:t>
      </w:r>
      <w:r>
        <w:rPr>
          <w:rFonts w:ascii="Times New Roman" w:eastAsia="Times New Roman" w:hAnsi="Times New Roman" w:cs="Times New Roman"/>
          <w:sz w:val="28"/>
          <w:szCs w:val="28"/>
        </w:rPr>
        <w:t>”;</w:t>
      </w:r>
    </w:p>
    <w:p w:rsidR="00923503" w:rsidRDefault="00923503" w:rsidP="009235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проведення громадських слухань щодо проектів містобудівної документації на місцевому рівні, затвердженого постановою Кабінету Міністрів України від 25 травня 2011 р. № 555;</w:t>
      </w:r>
    </w:p>
    <w:p w:rsidR="00923503" w:rsidRDefault="00923503" w:rsidP="0092350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74">
        <w:rPr>
          <w:rFonts w:ascii="Times New Roman" w:eastAsia="Times New Roman" w:hAnsi="Times New Roman" w:cs="Times New Roman"/>
          <w:sz w:val="28"/>
          <w:szCs w:val="28"/>
        </w:rPr>
        <w:t>Класифікаці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794574">
        <w:rPr>
          <w:rFonts w:ascii="Times New Roman" w:eastAsia="Times New Roman" w:hAnsi="Times New Roman" w:cs="Times New Roman"/>
          <w:sz w:val="28"/>
          <w:szCs w:val="28"/>
        </w:rPr>
        <w:t xml:space="preserve"> обмежень у використанні земель, що можуть встановлюватися комплексним планом просторового розвитку території територіальної громади, генеральним планом населеного пункту, детальним планом території,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574"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794574">
        <w:rPr>
          <w:rFonts w:ascii="Times New Roman" w:eastAsia="Times New Roman" w:hAnsi="Times New Roman" w:cs="Times New Roman"/>
          <w:sz w:val="28"/>
          <w:szCs w:val="28"/>
        </w:rPr>
        <w:t xml:space="preserve"> постановою Кабінету Міністрів України від 2 червня 2021 р.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4574">
        <w:rPr>
          <w:rFonts w:ascii="Times New Roman" w:eastAsia="Times New Roman" w:hAnsi="Times New Roman" w:cs="Times New Roman"/>
          <w:sz w:val="28"/>
          <w:szCs w:val="28"/>
        </w:rPr>
        <w:t>654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3503" w:rsidRPr="00A77F58" w:rsidRDefault="00923503" w:rsidP="00A77F5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8E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 ведення Державного земельного кадастру, затвердженого постановою Кабінету Міністрів України від 17 жовтня 2012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77F58">
        <w:rPr>
          <w:rFonts w:ascii="Times New Roman" w:eastAsia="Times New Roman" w:hAnsi="Times New Roman" w:cs="Times New Roman"/>
          <w:color w:val="000000"/>
          <w:sz w:val="28"/>
          <w:szCs w:val="28"/>
        </w:rPr>
        <w:t>1051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FE3808" w:rsidRDefault="00FE3808" w:rsidP="00923503">
      <w:pPr>
        <w:widowControl w:val="0"/>
        <w:ind w:right="-4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808" w:rsidRDefault="00EF6AEF">
      <w:pPr>
        <w:widowControl w:val="0"/>
        <w:spacing w:after="120"/>
        <w:ind w:right="-40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:rsidR="009629F6" w:rsidRDefault="00EF6AEF" w:rsidP="009629F6">
      <w:pPr>
        <w:widowControl w:val="0"/>
        <w:spacing w:after="160"/>
        <w:ind w:right="-40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Перелік нормативно-правових актів, що діють у відповідній сфері суспільних відносин: 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 xml:space="preserve">Земельний кодекс України,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Закони України “Про регулювання містобудівної діяльності”, “Про </w:t>
      </w:r>
      <w:r w:rsidR="009629F6">
        <w:rPr>
          <w:rFonts w:ascii="Times New Roman" w:eastAsia="Times New Roman" w:hAnsi="Times New Roman" w:cs="Times New Roman"/>
          <w:sz w:val="28"/>
          <w:szCs w:val="28"/>
        </w:rPr>
        <w:t>будівельні норми</w:t>
      </w:r>
      <w:r>
        <w:rPr>
          <w:rFonts w:ascii="Times New Roman" w:eastAsia="Times New Roman" w:hAnsi="Times New Roman" w:cs="Times New Roman"/>
          <w:sz w:val="28"/>
          <w:szCs w:val="28"/>
        </w:rPr>
        <w:t>”, “Про</w:t>
      </w:r>
      <w:r w:rsidR="009629F6">
        <w:rPr>
          <w:rFonts w:ascii="Times New Roman" w:eastAsia="Times New Roman" w:hAnsi="Times New Roman" w:cs="Times New Roman"/>
          <w:sz w:val="28"/>
          <w:szCs w:val="28"/>
        </w:rPr>
        <w:t xml:space="preserve"> землеустрій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”, “Про архітектурну діяльність”, “Про національну інфраструктуру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геопросторових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даних”, “Про електронну ідентифікацію та електронні довірчі послуги”, “Про місцеве самоврядування в Україні”, “Про </w:t>
      </w:r>
      <w:r w:rsidR="009629F6">
        <w:rPr>
          <w:rFonts w:ascii="Times New Roman" w:eastAsia="Times New Roman" w:hAnsi="Times New Roman" w:cs="Times New Roman"/>
          <w:sz w:val="28"/>
          <w:szCs w:val="28"/>
        </w:rPr>
        <w:t>авторське право та суміжні права</w:t>
      </w:r>
      <w:r>
        <w:rPr>
          <w:rFonts w:ascii="Times New Roman" w:eastAsia="Times New Roman" w:hAnsi="Times New Roman" w:cs="Times New Roman"/>
          <w:sz w:val="28"/>
          <w:szCs w:val="28"/>
        </w:rPr>
        <w:t>”, постанови Кабінету Міністрів України від 1 вересня 2021 р. № 926 “Про затвердження Порядку розроблення, оновлення, внесення змін та затвердження містобудівної документації”, від 9 червня 2021 р. № 632 “Про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території”, від 25 травня 2011 р. № 555 “Про затвердження Порядку проведення громадських слухань щодо проектів містобудівної документації на місцевому рівні”, від 25 травня 2011 р. № 548 “Про затвердження Порядку проведення експертизи містобудівної документації”, від 23 червня 2021 р. № 681 “Деякі питання забезпечення функціонування Єдиної держа</w:t>
      </w:r>
      <w:r w:rsidRPr="009629F6">
        <w:rPr>
          <w:rFonts w:ascii="Times New Roman" w:eastAsia="Times New Roman" w:hAnsi="Times New Roman" w:cs="Times New Roman"/>
          <w:sz w:val="28"/>
          <w:szCs w:val="28"/>
        </w:rPr>
        <w:t>вної електронн</w:t>
      </w:r>
      <w:r w:rsidR="009629F6" w:rsidRPr="009629F6">
        <w:rPr>
          <w:rFonts w:ascii="Times New Roman" w:eastAsia="Times New Roman" w:hAnsi="Times New Roman" w:cs="Times New Roman"/>
          <w:sz w:val="28"/>
          <w:szCs w:val="28"/>
        </w:rPr>
        <w:t xml:space="preserve">ої системи у сфері будівництва”, від 25 травня 2011 р. № 559 “Про містобудівний кадастр”, від 9 серпня 2024 р. № 909 </w:t>
      </w:r>
      <w:bookmarkStart w:id="1" w:name="n4"/>
      <w:bookmarkEnd w:id="1"/>
      <w:r w:rsidR="009629F6" w:rsidRPr="009629F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9629F6" w:rsidRPr="009629F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Деякі питання реалізації експериментального проекту щодо запровадження Містобудівного кадастру на державному рівні</w:t>
      </w:r>
      <w:r w:rsidR="009629F6" w:rsidRPr="009629F6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A77F58" w:rsidRPr="009629F6" w:rsidRDefault="00A77F58" w:rsidP="009629F6">
      <w:pPr>
        <w:widowControl w:val="0"/>
        <w:spacing w:after="160"/>
        <w:ind w:right="-40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808" w:rsidRDefault="00EF6AEF">
      <w:pPr>
        <w:widowControl w:val="0"/>
        <w:spacing w:after="120"/>
        <w:ind w:right="-40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Фінансово-економічне обґрунтування</w:t>
      </w:r>
    </w:p>
    <w:p w:rsidR="00FE3808" w:rsidRPr="00EF6AEF" w:rsidRDefault="00EF6AEF" w:rsidP="00EF6AEF">
      <w:pPr>
        <w:spacing w:after="16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Реалізація проєкту постанови не потребує 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>фінансування з державного чи місцевих бюджетів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Фінансування видатків, необхідних для реалізації постанови 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частині </w:t>
      </w:r>
      <w:r w:rsidR="00DD13FC">
        <w:rPr>
          <w:rFonts w:ascii="Times New Roman" w:eastAsia="Times New Roman" w:hAnsi="Times New Roman" w:cs="Times New Roman"/>
          <w:sz w:val="28"/>
          <w:szCs w:val="28"/>
        </w:rPr>
        <w:t xml:space="preserve">розроблення містобудівної документації на місцевому рівні відповідно до Закону України “Про регулювання містобудівної діяльності” здійснюється 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рахунок коштів державного </w:t>
      </w:r>
      <w:r w:rsidR="00DD13FC">
        <w:rPr>
          <w:rFonts w:ascii="Times New Roman" w:eastAsia="Times New Roman" w:hAnsi="Times New Roman" w:cs="Times New Roman"/>
          <w:sz w:val="28"/>
          <w:szCs w:val="28"/>
        </w:rPr>
        <w:t>та місцевих бюджетів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міжнародної технічної та/або поворотної або безповоротної фінансової допомоги міжнародних організацій,  та інших джерел, не заборонених законодавством.</w:t>
      </w:r>
    </w:p>
    <w:p w:rsidR="00FE3808" w:rsidRDefault="00EF6AEF">
      <w:pPr>
        <w:widowControl w:val="0"/>
        <w:spacing w:after="120"/>
        <w:ind w:right="-40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:rsidR="006A7A0C" w:rsidRDefault="006A7A0C" w:rsidP="006A7A0C">
      <w:pPr>
        <w:pStyle w:val="af5"/>
        <w:ind w:firstLine="567"/>
        <w:contextualSpacing/>
        <w:jc w:val="both"/>
        <w:rPr>
          <w:rFonts w:eastAsia="Times New Roman"/>
          <w:szCs w:val="28"/>
          <w:lang w:val="uk-UA" w:eastAsia="ru-RU"/>
        </w:rPr>
      </w:pPr>
      <w:proofErr w:type="spellStart"/>
      <w:r w:rsidRPr="00B30A64">
        <w:rPr>
          <w:rFonts w:eastAsia="Times New Roman"/>
          <w:szCs w:val="28"/>
          <w:lang w:val="uk-UA" w:eastAsia="ru-RU"/>
        </w:rPr>
        <w:t>Проєкт</w:t>
      </w:r>
      <w:proofErr w:type="spellEnd"/>
      <w:r w:rsidRPr="00B30A64">
        <w:rPr>
          <w:rFonts w:eastAsia="Times New Roman"/>
          <w:szCs w:val="28"/>
          <w:lang w:val="uk-UA" w:eastAsia="ru-RU"/>
        </w:rPr>
        <w:t xml:space="preserve"> постанови розміщено на </w:t>
      </w:r>
      <w:r w:rsidR="00C510D6">
        <w:rPr>
          <w:rFonts w:eastAsia="Times New Roman"/>
          <w:szCs w:val="28"/>
          <w:lang w:val="uk-UA" w:eastAsia="ru-RU"/>
        </w:rPr>
        <w:t xml:space="preserve">офіційному </w:t>
      </w:r>
      <w:proofErr w:type="spellStart"/>
      <w:r w:rsidRPr="00B30A64">
        <w:rPr>
          <w:rFonts w:eastAsia="Times New Roman"/>
          <w:szCs w:val="28"/>
          <w:lang w:val="uk-UA" w:eastAsia="ru-RU"/>
        </w:rPr>
        <w:t>вебсайті</w:t>
      </w:r>
      <w:proofErr w:type="spellEnd"/>
      <w:r w:rsidRPr="00B30A64">
        <w:rPr>
          <w:rFonts w:eastAsia="Times New Roman"/>
          <w:szCs w:val="28"/>
          <w:lang w:val="uk-UA" w:eastAsia="ru-RU"/>
        </w:rPr>
        <w:t xml:space="preserve"> Міністерства </w:t>
      </w:r>
      <w:r w:rsidR="00C510D6">
        <w:rPr>
          <w:rFonts w:eastAsia="Times New Roman"/>
          <w:szCs w:val="28"/>
          <w:lang w:val="uk-UA" w:eastAsia="ru-RU"/>
        </w:rPr>
        <w:t xml:space="preserve">розвитку громад та територій України </w:t>
      </w:r>
      <w:r w:rsidRPr="00B30A64">
        <w:rPr>
          <w:rFonts w:eastAsia="Times New Roman"/>
          <w:szCs w:val="28"/>
          <w:lang w:val="uk-UA" w:eastAsia="ru-RU"/>
        </w:rPr>
        <w:t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</w:t>
      </w:r>
      <w:r>
        <w:rPr>
          <w:rFonts w:eastAsia="Times New Roman"/>
          <w:szCs w:val="28"/>
          <w:lang w:val="uk-UA" w:eastAsia="ru-RU"/>
        </w:rPr>
        <w:t> </w:t>
      </w:r>
      <w:r w:rsidRPr="00B30A64">
        <w:rPr>
          <w:rFonts w:eastAsia="Times New Roman"/>
          <w:szCs w:val="28"/>
          <w:lang w:val="uk-UA" w:eastAsia="ru-RU"/>
        </w:rPr>
        <w:t>03.11.2010 № 996 «Про забезпечення участі громадськості у</w:t>
      </w:r>
      <w:r>
        <w:rPr>
          <w:rFonts w:eastAsia="Times New Roman"/>
          <w:szCs w:val="28"/>
          <w:lang w:val="uk-UA" w:eastAsia="ru-RU"/>
        </w:rPr>
        <w:t> </w:t>
      </w:r>
      <w:r w:rsidRPr="00B30A64">
        <w:rPr>
          <w:rFonts w:eastAsia="Times New Roman"/>
          <w:szCs w:val="28"/>
          <w:lang w:val="uk-UA" w:eastAsia="ru-RU"/>
        </w:rPr>
        <w:t>формуванні та реалізації державної політики». Звіт про громадське обговорення проєкту постанови розміщено на</w:t>
      </w:r>
      <w:r w:rsidR="00C510D6">
        <w:rPr>
          <w:rFonts w:eastAsia="Times New Roman"/>
          <w:szCs w:val="28"/>
          <w:lang w:val="uk-UA" w:eastAsia="ru-RU"/>
        </w:rPr>
        <w:t xml:space="preserve"> офіційному</w:t>
      </w:r>
      <w:r w:rsidRPr="00B30A64">
        <w:rPr>
          <w:rFonts w:eastAsia="Times New Roman"/>
          <w:szCs w:val="28"/>
          <w:lang w:val="uk-UA" w:eastAsia="ru-RU"/>
        </w:rPr>
        <w:t xml:space="preserve"> </w:t>
      </w:r>
      <w:proofErr w:type="spellStart"/>
      <w:r w:rsidRPr="00B30A64">
        <w:rPr>
          <w:rFonts w:eastAsia="Times New Roman"/>
          <w:szCs w:val="28"/>
          <w:lang w:val="uk-UA" w:eastAsia="ru-RU"/>
        </w:rPr>
        <w:t>вебсайті</w:t>
      </w:r>
      <w:proofErr w:type="spellEnd"/>
      <w:r w:rsidRPr="00B30A64">
        <w:rPr>
          <w:rFonts w:eastAsia="Times New Roman"/>
          <w:szCs w:val="28"/>
          <w:lang w:val="uk-UA" w:eastAsia="ru-RU"/>
        </w:rPr>
        <w:t xml:space="preserve"> Міністерства.</w:t>
      </w:r>
    </w:p>
    <w:p w:rsidR="00FE3808" w:rsidRPr="006A7A0C" w:rsidRDefault="00EF6AEF">
      <w:pPr>
        <w:widowControl w:val="0"/>
        <w:spacing w:before="60" w:after="60"/>
        <w:ind w:right="-4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стосується питань функціонування місцевого самоврядування, прав та інтересів територіальних громад, місцево</w:t>
      </w:r>
      <w:r w:rsidR="006A7A0C">
        <w:rPr>
          <w:rFonts w:ascii="Times New Roman" w:eastAsia="Times New Roman" w:hAnsi="Times New Roman" w:cs="Times New Roman"/>
          <w:sz w:val="28"/>
          <w:szCs w:val="28"/>
        </w:rPr>
        <w:t xml:space="preserve">го та регіонального розвитку та погоджений </w:t>
      </w:r>
      <w:r>
        <w:rPr>
          <w:rFonts w:ascii="Times New Roman" w:eastAsia="Times New Roman" w:hAnsi="Times New Roman" w:cs="Times New Roman"/>
          <w:sz w:val="28"/>
          <w:szCs w:val="28"/>
        </w:rPr>
        <w:t>всеукраїнськими асоціаціями ор</w:t>
      </w:r>
      <w:r w:rsidR="006A7A0C">
        <w:rPr>
          <w:rFonts w:ascii="Times New Roman" w:eastAsia="Times New Roman" w:hAnsi="Times New Roman" w:cs="Times New Roman"/>
          <w:sz w:val="28"/>
          <w:szCs w:val="28"/>
        </w:rPr>
        <w:t>ганів місцевого самоврядування.</w:t>
      </w:r>
    </w:p>
    <w:p w:rsidR="00FE3808" w:rsidRDefault="00EF6AEF">
      <w:pPr>
        <w:widowControl w:val="0"/>
        <w:spacing w:before="60" w:after="60"/>
        <w:ind w:right="-4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7A0C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6A7A0C">
        <w:rPr>
          <w:rFonts w:ascii="Times New Roman" w:eastAsia="Times New Roman" w:hAnsi="Times New Roman" w:cs="Times New Roman"/>
          <w:sz w:val="28"/>
          <w:szCs w:val="28"/>
        </w:rPr>
        <w:t xml:space="preserve"> постанови не стосується соціально-трудової сфери, прав осіб з інвалідністю, функціонування і застосування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мови як державної.</w:t>
      </w:r>
    </w:p>
    <w:p w:rsidR="00FE3808" w:rsidRDefault="00EF6AEF" w:rsidP="00EF6AEF">
      <w:pPr>
        <w:spacing w:after="16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не стосується сфери наукової та науково-технічної діяльності та не потребує розгляду Наукового комітету Національної ради з питань розвитку науки і технологій.</w:t>
      </w:r>
    </w:p>
    <w:p w:rsidR="00FE3808" w:rsidRDefault="00EF6AEF">
      <w:pPr>
        <w:spacing w:after="120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:rsidR="00FE3808" w:rsidRDefault="00EF6AEF">
      <w:pPr>
        <w:shd w:val="clear" w:color="auto" w:fill="FFFFFF"/>
        <w:spacing w:before="60" w:after="6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gjdgxs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постанови за предметом правового регулювання не належить до сфер, правовідносини в яких регулюються правом Європейського Союзу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acquis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6A7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був розглянутий та погоджений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Урядов</w:t>
      </w:r>
      <w:r w:rsidR="006A7A0C">
        <w:rPr>
          <w:rFonts w:ascii="Times New Roman" w:eastAsia="Times New Roman" w:hAnsi="Times New Roman" w:cs="Times New Roman"/>
          <w:color w:val="000000"/>
          <w:sz w:val="28"/>
          <w:szCs w:val="28"/>
        </w:rPr>
        <w:t>им офісом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координації європейської та євроатлантичної інтеграції України.</w:t>
      </w:r>
    </w:p>
    <w:p w:rsidR="00FE3808" w:rsidRDefault="00EF6AEF">
      <w:pPr>
        <w:shd w:val="clear" w:color="auto" w:fill="FFFFFF"/>
        <w:spacing w:before="60" w:after="6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постанови не містить норм, що порушують права та свободи, гарантовані Конвенцією про захист прав людини і основоположних свобод 1950</w:t>
      </w:r>
      <w:r w:rsidR="00666A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року.</w:t>
      </w:r>
    </w:p>
    <w:p w:rsidR="00FE3808" w:rsidRDefault="00EF6AEF">
      <w:pPr>
        <w:shd w:val="clear" w:color="auto" w:fill="FFFFFF"/>
        <w:spacing w:before="60" w:after="6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постанови відсутні положення, які впливають на забезпечення рівних прав та можливостей жінок і чоловіків;</w:t>
      </w:r>
    </w:p>
    <w:p w:rsidR="00FE3808" w:rsidRDefault="00EF6AEF">
      <w:pPr>
        <w:shd w:val="clear" w:color="auto" w:fill="FFFFFF"/>
        <w:spacing w:before="60" w:after="6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постанови відсутні положення, які містять ризики вчинення корупційних правопорушень та правопорушень, пов’язаних з корупцією;</w:t>
      </w:r>
    </w:p>
    <w:p w:rsidR="00FE3808" w:rsidRDefault="00EF6AEF">
      <w:pPr>
        <w:shd w:val="clear" w:color="auto" w:fill="FFFFFF"/>
        <w:spacing w:before="60" w:after="6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постанови відсутні положення, які створюють підстави для дискримінації.</w:t>
      </w:r>
    </w:p>
    <w:p w:rsidR="006A7A0C" w:rsidRPr="00A02148" w:rsidRDefault="006A7A0C" w:rsidP="006A7A0C">
      <w:pPr>
        <w:pStyle w:val="af5"/>
        <w:ind w:firstLine="567"/>
        <w:jc w:val="both"/>
        <w:rPr>
          <w:szCs w:val="28"/>
          <w:lang w:val="uk-UA"/>
        </w:rPr>
      </w:pPr>
      <w:proofErr w:type="spellStart"/>
      <w:r w:rsidRPr="00A02148">
        <w:rPr>
          <w:szCs w:val="28"/>
          <w:lang w:val="uk-UA"/>
        </w:rPr>
        <w:lastRenderedPageBreak/>
        <w:t>Проєкт</w:t>
      </w:r>
      <w:proofErr w:type="spellEnd"/>
      <w:r w:rsidRPr="00A02148">
        <w:rPr>
          <w:szCs w:val="28"/>
          <w:lang w:val="uk-UA"/>
        </w:rPr>
        <w:t xml:space="preserve"> постанови надіслано до Національного агентства з питань запобігання корупції для визначення необхідності проведення антикорупційної експертизи листом </w:t>
      </w:r>
      <w:r w:rsidR="00C510D6">
        <w:rPr>
          <w:szCs w:val="28"/>
          <w:lang w:val="uk-UA"/>
        </w:rPr>
        <w:t>Міністерства розвитку громад та територій України</w:t>
      </w:r>
      <w:r w:rsidRPr="00A02148">
        <w:rPr>
          <w:szCs w:val="28"/>
          <w:lang w:val="uk-UA"/>
        </w:rPr>
        <w:t xml:space="preserve"> від</w:t>
      </w:r>
      <w:r w:rsidR="00C510D6">
        <w:rPr>
          <w:szCs w:val="28"/>
          <w:lang w:val="uk-UA"/>
        </w:rPr>
        <w:t> </w:t>
      </w:r>
      <w:r>
        <w:rPr>
          <w:szCs w:val="28"/>
          <w:lang w:val="uk-UA"/>
        </w:rPr>
        <w:t>21</w:t>
      </w:r>
      <w:r w:rsidRPr="00A02148">
        <w:rPr>
          <w:szCs w:val="28"/>
          <w:lang w:val="uk-UA"/>
        </w:rPr>
        <w:t>.</w:t>
      </w:r>
      <w:r>
        <w:rPr>
          <w:szCs w:val="28"/>
          <w:lang w:val="uk-UA"/>
        </w:rPr>
        <w:t>11</w:t>
      </w:r>
      <w:r w:rsidRPr="00A02148">
        <w:rPr>
          <w:szCs w:val="28"/>
          <w:lang w:val="uk-UA"/>
        </w:rPr>
        <w:t>.202</w:t>
      </w:r>
      <w:r>
        <w:rPr>
          <w:szCs w:val="28"/>
          <w:lang w:val="uk-UA"/>
        </w:rPr>
        <w:t>4</w:t>
      </w:r>
      <w:r w:rsidRPr="00A02148">
        <w:rPr>
          <w:szCs w:val="28"/>
          <w:lang w:val="uk-UA" w:eastAsia="uk-UA"/>
        </w:rPr>
        <w:t xml:space="preserve"> № </w:t>
      </w:r>
      <w:r w:rsidRPr="006A7A0C">
        <w:rPr>
          <w:szCs w:val="28"/>
          <w:lang w:val="uk-UA" w:eastAsia="uk-UA"/>
        </w:rPr>
        <w:t>14387/30/14-24</w:t>
      </w:r>
      <w:r w:rsidRPr="00A02148">
        <w:rPr>
          <w:szCs w:val="28"/>
          <w:lang w:val="uk-UA" w:eastAsia="uk-UA"/>
        </w:rPr>
        <w:t xml:space="preserve"> (зареєстровано </w:t>
      </w:r>
      <w:r>
        <w:rPr>
          <w:szCs w:val="28"/>
          <w:lang w:val="uk-UA" w:eastAsia="uk-UA"/>
        </w:rPr>
        <w:t>21.11</w:t>
      </w:r>
      <w:r w:rsidRPr="00A02148">
        <w:rPr>
          <w:szCs w:val="28"/>
          <w:lang w:val="uk-UA" w:eastAsia="uk-UA"/>
        </w:rPr>
        <w:t>.202</w:t>
      </w:r>
      <w:r>
        <w:rPr>
          <w:szCs w:val="28"/>
          <w:lang w:val="uk-UA" w:eastAsia="uk-UA"/>
        </w:rPr>
        <w:t>4</w:t>
      </w:r>
      <w:r w:rsidRPr="00A02148">
        <w:rPr>
          <w:szCs w:val="28"/>
          <w:lang w:val="uk-UA" w:eastAsia="uk-UA"/>
        </w:rPr>
        <w:t xml:space="preserve"> за № </w:t>
      </w:r>
      <w:r>
        <w:rPr>
          <w:szCs w:val="28"/>
          <w:lang w:val="uk-UA" w:eastAsia="uk-UA"/>
        </w:rPr>
        <w:t>147841/0/03-24</w:t>
      </w:r>
      <w:r w:rsidRPr="00A02148">
        <w:rPr>
          <w:szCs w:val="28"/>
          <w:lang w:val="uk-UA" w:eastAsia="uk-UA"/>
        </w:rPr>
        <w:t>).</w:t>
      </w:r>
    </w:p>
    <w:p w:rsidR="006A7A0C" w:rsidRPr="00A02148" w:rsidRDefault="006A7A0C" w:rsidP="006A7A0C">
      <w:pPr>
        <w:pStyle w:val="af5"/>
        <w:ind w:firstLine="567"/>
        <w:contextualSpacing/>
        <w:jc w:val="both"/>
        <w:rPr>
          <w:rFonts w:eastAsia="Times New Roman"/>
          <w:szCs w:val="28"/>
          <w:lang w:val="uk-UA" w:eastAsia="ru-RU"/>
        </w:rPr>
      </w:pPr>
      <w:r w:rsidRPr="00A02148">
        <w:rPr>
          <w:rFonts w:eastAsia="Times New Roman"/>
          <w:szCs w:val="28"/>
          <w:lang w:val="uk-UA" w:eastAsia="ru-RU"/>
        </w:rPr>
        <w:t xml:space="preserve">Громадська антикорупційна, громадська </w:t>
      </w:r>
      <w:proofErr w:type="spellStart"/>
      <w:r w:rsidRPr="00A02148">
        <w:rPr>
          <w:rFonts w:eastAsia="Times New Roman"/>
          <w:szCs w:val="28"/>
          <w:lang w:val="uk-UA" w:eastAsia="ru-RU"/>
        </w:rPr>
        <w:t>антидискримінаційна</w:t>
      </w:r>
      <w:proofErr w:type="spellEnd"/>
      <w:r w:rsidRPr="00A02148">
        <w:rPr>
          <w:rFonts w:eastAsia="Times New Roman"/>
          <w:szCs w:val="28"/>
          <w:lang w:val="uk-UA" w:eastAsia="ru-RU"/>
        </w:rPr>
        <w:t xml:space="preserve"> та громадська </w:t>
      </w:r>
      <w:proofErr w:type="spellStart"/>
      <w:r w:rsidRPr="00A02148">
        <w:rPr>
          <w:rFonts w:eastAsia="Times New Roman"/>
          <w:szCs w:val="28"/>
          <w:lang w:val="uk-UA" w:eastAsia="ru-RU"/>
        </w:rPr>
        <w:t>гендерно</w:t>
      </w:r>
      <w:proofErr w:type="spellEnd"/>
      <w:r w:rsidRPr="00A02148">
        <w:rPr>
          <w:rFonts w:eastAsia="Times New Roman"/>
          <w:szCs w:val="28"/>
          <w:lang w:val="uk-UA" w:eastAsia="ru-RU"/>
        </w:rPr>
        <w:t xml:space="preserve">-правова експертизи не проводилися. </w:t>
      </w:r>
    </w:p>
    <w:p w:rsidR="006A7A0C" w:rsidRDefault="006A7A0C">
      <w:pPr>
        <w:spacing w:after="120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808" w:rsidRDefault="00EF6AEF">
      <w:pPr>
        <w:spacing w:after="120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:rsidR="00FE3808" w:rsidRPr="00EF6AEF" w:rsidRDefault="00EF6AEF" w:rsidP="00EF6AEF">
      <w:pPr>
        <w:tabs>
          <w:tab w:val="right" w:pos="9498"/>
        </w:tabs>
        <w:spacing w:after="16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Прийняття постанови дозволить </w:t>
      </w:r>
      <w:r w:rsidR="00666A49">
        <w:rPr>
          <w:rFonts w:ascii="Times New Roman" w:eastAsia="Times New Roman" w:hAnsi="Times New Roman" w:cs="Times New Roman"/>
          <w:sz w:val="28"/>
          <w:szCs w:val="28"/>
        </w:rPr>
        <w:t>вдосконалити вимоги</w:t>
      </w:r>
      <w:r w:rsidR="00666A49" w:rsidRPr="00157870">
        <w:rPr>
          <w:rFonts w:ascii="Times New Roman" w:eastAsia="Times New Roman" w:hAnsi="Times New Roman" w:cs="Times New Roman"/>
          <w:sz w:val="28"/>
          <w:szCs w:val="28"/>
        </w:rPr>
        <w:t xml:space="preserve"> до розроблення, оновлення, внесення змін та затвердження, а також складу та змісту</w:t>
      </w:r>
      <w:r w:rsidR="00666A49">
        <w:rPr>
          <w:rFonts w:ascii="Times New Roman" w:eastAsia="Times New Roman" w:hAnsi="Times New Roman" w:cs="Times New Roman"/>
          <w:sz w:val="28"/>
          <w:szCs w:val="28"/>
        </w:rPr>
        <w:t xml:space="preserve"> містобудівної документації на місцевому рівні, забезпечення </w:t>
      </w:r>
      <w:r w:rsidR="00A77F58">
        <w:rPr>
          <w:rFonts w:ascii="Times New Roman" w:eastAsia="Times New Roman" w:hAnsi="Times New Roman" w:cs="Times New Roman"/>
          <w:sz w:val="28"/>
          <w:szCs w:val="28"/>
        </w:rPr>
        <w:t>поєднання</w:t>
      </w:r>
      <w:r w:rsidR="00666A49">
        <w:rPr>
          <w:rFonts w:ascii="Times New Roman" w:eastAsia="Times New Roman" w:hAnsi="Times New Roman" w:cs="Times New Roman"/>
          <w:sz w:val="28"/>
          <w:szCs w:val="28"/>
        </w:rPr>
        <w:t xml:space="preserve"> містобудівної та землевпорядної складових містобудівної документації, а також сприятиме впровадженню Містобудівного кадастру на державному рівні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3808" w:rsidRDefault="00EF6AEF">
      <w:pPr>
        <w:tabs>
          <w:tab w:val="right" w:pos="9498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Інформація щодо впливу постанови на інтереси заінтересованих сторін</w:t>
      </w:r>
    </w:p>
    <w:tbl>
      <w:tblPr>
        <w:tblStyle w:val="af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5664"/>
      </w:tblGrid>
      <w:tr w:rsidR="00FE3808" w:rsidTr="00666A49">
        <w:tc>
          <w:tcPr>
            <w:tcW w:w="1838" w:type="dxa"/>
          </w:tcPr>
          <w:p w:rsidR="00FE3808" w:rsidRDefault="00EF6AEF">
            <w:pPr>
              <w:tabs>
                <w:tab w:val="right" w:pos="94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Заінтересована сторона</w:t>
            </w:r>
          </w:p>
        </w:tc>
        <w:tc>
          <w:tcPr>
            <w:tcW w:w="2126" w:type="dxa"/>
          </w:tcPr>
          <w:p w:rsidR="00FE3808" w:rsidRDefault="00EF6AEF">
            <w:pPr>
              <w:tabs>
                <w:tab w:val="right" w:pos="94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Вплив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proofErr w:type="spellEnd"/>
          </w:p>
          <w:p w:rsidR="00FE3808" w:rsidRDefault="00EF6AEF">
            <w:pPr>
              <w:tabs>
                <w:tab w:val="right" w:pos="94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заінтересовану</w:t>
            </w:r>
          </w:p>
          <w:p w:rsidR="00FE3808" w:rsidRDefault="00EF6AEF">
            <w:pPr>
              <w:tabs>
                <w:tab w:val="right" w:pos="94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сторону</w:t>
            </w:r>
          </w:p>
        </w:tc>
        <w:tc>
          <w:tcPr>
            <w:tcW w:w="5664" w:type="dxa"/>
          </w:tcPr>
          <w:p w:rsidR="00FE3808" w:rsidRDefault="00EF6AEF">
            <w:pPr>
              <w:tabs>
                <w:tab w:val="right" w:pos="949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Пояснення очікуваного впливу</w:t>
            </w:r>
          </w:p>
        </w:tc>
      </w:tr>
      <w:tr w:rsidR="00FE3808" w:rsidTr="00666A49">
        <w:tc>
          <w:tcPr>
            <w:tcW w:w="1838" w:type="dxa"/>
          </w:tcPr>
          <w:p w:rsidR="00FE3808" w:rsidRDefault="00EF6AEF">
            <w:pPr>
              <w:tabs>
                <w:tab w:val="righ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Держава</w:t>
            </w:r>
          </w:p>
        </w:tc>
        <w:tc>
          <w:tcPr>
            <w:tcW w:w="2126" w:type="dxa"/>
          </w:tcPr>
          <w:p w:rsidR="00FE3808" w:rsidRDefault="00EF6AEF">
            <w:pPr>
              <w:tabs>
                <w:tab w:val="righ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5664" w:type="dxa"/>
          </w:tcPr>
          <w:p w:rsidR="00FE3808" w:rsidRDefault="00EF6AEF" w:rsidP="00666A49">
            <w:pPr>
              <w:tabs>
                <w:tab w:val="righ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Прийняття постанови дозволить </w:t>
            </w:r>
            <w:r w:rsidR="00666A49">
              <w:rPr>
                <w:rFonts w:ascii="Times New Roman" w:eastAsia="Times New Roman" w:hAnsi="Times New Roman" w:cs="Times New Roman"/>
                <w:sz w:val="24"/>
                <w:szCs w:val="24"/>
              </w:rPr>
              <w:t>вдосконалити процес розроблення, оновлення, внесення змін та затвердження містобудівної документації, створить можливості для підвищення якості управлінських рішень на її основі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органами державної виконавчої влади та органами місцевого самоврядування під час планування</w:t>
            </w:r>
            <w:r w:rsidR="00666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забудови територій,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використання земель</w:t>
            </w:r>
            <w:r w:rsidR="00666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розвитку інфраструктури</w:t>
            </w:r>
          </w:p>
        </w:tc>
      </w:tr>
      <w:tr w:rsidR="00FE3808" w:rsidTr="00666A49">
        <w:tc>
          <w:tcPr>
            <w:tcW w:w="1838" w:type="dxa"/>
          </w:tcPr>
          <w:p w:rsidR="00FE3808" w:rsidRDefault="00EF6AEF">
            <w:pPr>
              <w:tabs>
                <w:tab w:val="righ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2126" w:type="dxa"/>
          </w:tcPr>
          <w:p w:rsidR="00FE3808" w:rsidRDefault="00EF6AEF">
            <w:pPr>
              <w:tabs>
                <w:tab w:val="righ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5664" w:type="dxa"/>
          </w:tcPr>
          <w:p w:rsidR="00FE3808" w:rsidRDefault="00EF6AEF" w:rsidP="00666A49">
            <w:pPr>
              <w:tabs>
                <w:tab w:val="righ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Забезпечить скорочення часових витрат учасників процесу розроблення, внесення змін та оновлення містобудівної документації</w:t>
            </w:r>
            <w:r w:rsidR="00666A49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поліпшить можливості використання містобудівної документації засобами Містобудівного кадастру на державному рівні</w:t>
            </w:r>
          </w:p>
        </w:tc>
      </w:tr>
      <w:tr w:rsidR="00FE3808" w:rsidTr="00666A49">
        <w:tc>
          <w:tcPr>
            <w:tcW w:w="1838" w:type="dxa"/>
          </w:tcPr>
          <w:p w:rsidR="00FE3808" w:rsidRDefault="00EF6AEF">
            <w:pPr>
              <w:tabs>
                <w:tab w:val="righ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Громадяни</w:t>
            </w:r>
          </w:p>
        </w:tc>
        <w:tc>
          <w:tcPr>
            <w:tcW w:w="2126" w:type="dxa"/>
          </w:tcPr>
          <w:p w:rsidR="00FE3808" w:rsidRDefault="00EF6AEF">
            <w:pPr>
              <w:tabs>
                <w:tab w:val="righ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5664" w:type="dxa"/>
          </w:tcPr>
          <w:p w:rsidR="00FE3808" w:rsidRDefault="00666A49" w:rsidP="00666A49">
            <w:pPr>
              <w:tabs>
                <w:tab w:val="righ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Підвищить можливість</w:t>
            </w:r>
            <w:r w:rsidR="00EF6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отримувати та використовувати достовірні відомості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планування та забудови територій і землекористування</w:t>
            </w:r>
            <w:r w:rsidR="00EF6A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E3808" w:rsidRPr="00EF6AEF" w:rsidRDefault="00FE3808" w:rsidP="00EF6AEF">
      <w:pPr>
        <w:tabs>
          <w:tab w:val="right" w:pos="9498"/>
        </w:tabs>
        <w:jc w:val="both"/>
        <w:rPr>
          <w:rFonts w:ascii="Times New Roman" w:eastAsia="Times New Roman" w:hAnsi="Times New Roman" w:cs="Times New Roman"/>
        </w:rPr>
      </w:pPr>
    </w:p>
    <w:p w:rsidR="00D733DA" w:rsidRPr="00C510D6" w:rsidRDefault="00D733DA" w:rsidP="00D733D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r w:rsidRPr="00C510D6">
        <w:rPr>
          <w:rFonts w:ascii="Times New Roman" w:eastAsia="Times New Roman" w:hAnsi="Times New Roman" w:cs="Times New Roman"/>
          <w:sz w:val="28"/>
          <w:szCs w:val="28"/>
        </w:rPr>
        <w:t xml:space="preserve">Віце-прем’єр-міністр з відновлення України – </w:t>
      </w:r>
    </w:p>
    <w:p w:rsidR="00D733DA" w:rsidRPr="00C510D6" w:rsidRDefault="00D733DA" w:rsidP="00D733D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0D6">
        <w:rPr>
          <w:rFonts w:ascii="Times New Roman" w:eastAsia="Times New Roman" w:hAnsi="Times New Roman" w:cs="Times New Roman"/>
          <w:sz w:val="28"/>
          <w:szCs w:val="28"/>
        </w:rPr>
        <w:t>Міністр розвитку громад</w:t>
      </w:r>
    </w:p>
    <w:p w:rsidR="00D733DA" w:rsidRPr="00C510D6" w:rsidRDefault="00D733DA" w:rsidP="00D733D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0D6">
        <w:rPr>
          <w:rFonts w:ascii="Times New Roman" w:eastAsia="Times New Roman" w:hAnsi="Times New Roman" w:cs="Times New Roman"/>
          <w:sz w:val="28"/>
          <w:szCs w:val="28"/>
        </w:rPr>
        <w:t>та територій</w:t>
      </w:r>
      <w:r w:rsidR="00AB0B13" w:rsidRPr="00C510D6">
        <w:rPr>
          <w:rFonts w:ascii="Times New Roman" w:eastAsia="Times New Roman" w:hAnsi="Times New Roman" w:cs="Times New Roman"/>
          <w:sz w:val="28"/>
          <w:szCs w:val="28"/>
        </w:rPr>
        <w:t xml:space="preserve"> Укрраїни</w:t>
      </w:r>
      <w:r w:rsidRPr="00C510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Олексій КУЛЕБА</w:t>
      </w:r>
    </w:p>
    <w:p w:rsidR="00D733DA" w:rsidRPr="00C510D6" w:rsidRDefault="00D733DA" w:rsidP="00D733DA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10D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E3808" w:rsidRPr="00C510D6" w:rsidRDefault="00D733DA" w:rsidP="00D733DA">
      <w:pPr>
        <w:shd w:val="clear" w:color="auto" w:fill="FFFFFF"/>
        <w:ind w:firstLin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0D6">
        <w:rPr>
          <w:rFonts w:ascii="Times New Roman" w:eastAsia="Times New Roman" w:hAnsi="Times New Roman" w:cs="Times New Roman"/>
          <w:sz w:val="28"/>
          <w:szCs w:val="28"/>
        </w:rPr>
        <w:t>____ _______________ 2024 р.</w:t>
      </w:r>
      <w:bookmarkEnd w:id="3"/>
    </w:p>
    <w:sectPr w:rsidR="00FE3808" w:rsidRPr="00C510D6" w:rsidSect="00666A49">
      <w:headerReference w:type="default" r:id="rId7"/>
      <w:pgSz w:w="11906" w:h="16838"/>
      <w:pgMar w:top="993" w:right="567" w:bottom="1560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AC5" w:rsidRDefault="006D4AC5">
      <w:r>
        <w:separator/>
      </w:r>
    </w:p>
  </w:endnote>
  <w:endnote w:type="continuationSeparator" w:id="0">
    <w:p w:rsidR="006D4AC5" w:rsidRDefault="006D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AC5" w:rsidRDefault="006D4AC5">
      <w:r>
        <w:separator/>
      </w:r>
    </w:p>
  </w:footnote>
  <w:footnote w:type="continuationSeparator" w:id="0">
    <w:p w:rsidR="006D4AC5" w:rsidRDefault="006D4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08" w:rsidRDefault="00EF6A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C510D6">
      <w:rPr>
        <w:rFonts w:ascii="Arial" w:eastAsia="Arial" w:hAnsi="Arial" w:cs="Arial"/>
        <w:noProof/>
        <w:color w:val="000000"/>
        <w:sz w:val="22"/>
        <w:szCs w:val="22"/>
      </w:rPr>
      <w:t>3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:rsidR="00FE3808" w:rsidRDefault="00FE38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08"/>
    <w:rsid w:val="000527C6"/>
    <w:rsid w:val="003213F4"/>
    <w:rsid w:val="003B68E0"/>
    <w:rsid w:val="00557652"/>
    <w:rsid w:val="00666A49"/>
    <w:rsid w:val="006A7A0C"/>
    <w:rsid w:val="006D4AC5"/>
    <w:rsid w:val="006D72B7"/>
    <w:rsid w:val="007D255F"/>
    <w:rsid w:val="00817051"/>
    <w:rsid w:val="008D023B"/>
    <w:rsid w:val="00923503"/>
    <w:rsid w:val="009629F6"/>
    <w:rsid w:val="00993368"/>
    <w:rsid w:val="00A77F58"/>
    <w:rsid w:val="00AB0B13"/>
    <w:rsid w:val="00C510D6"/>
    <w:rsid w:val="00D733DA"/>
    <w:rsid w:val="00DD13FC"/>
    <w:rsid w:val="00EB4EFE"/>
    <w:rsid w:val="00EF6AEF"/>
    <w:rsid w:val="00F33795"/>
    <w:rsid w:val="00F81863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8906-0867-4D36-8E7D-D71A9C70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semiHidden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semiHidden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semiHidden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semiHidden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semiHidden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footnote text"/>
    <w:link w:val="ab"/>
    <w:semiHidden/>
  </w:style>
  <w:style w:type="paragraph" w:styleId="ac">
    <w:name w:val="endnote text"/>
    <w:link w:val="ad"/>
    <w:semiHidden/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6">
    <w:name w:val="Верхній колонтитул Знак"/>
    <w:basedOn w:val="a0"/>
    <w:link w:val="a5"/>
    <w:rPr>
      <w:lang w:eastAsia="ru-RU"/>
    </w:rPr>
  </w:style>
  <w:style w:type="character" w:customStyle="1" w:styleId="a8">
    <w:name w:val="Нижній колонтитул Знак"/>
    <w:basedOn w:val="a0"/>
    <w:link w:val="a7"/>
    <w:rPr>
      <w:lang w:eastAsia="ru-RU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5">
    <w:name w:val="No Spacing"/>
    <w:uiPriority w:val="1"/>
    <w:qFormat/>
    <w:rsid w:val="009629F6"/>
    <w:rPr>
      <w:rFonts w:ascii="Times New Roman" w:eastAsiaTheme="minorHAnsi" w:hAnsi="Times New Roman" w:cs="Times New Roman"/>
      <w:sz w:val="28"/>
      <w:szCs w:val="24"/>
      <w:lang w:val="ru-RU" w:eastAsia="en-US"/>
    </w:rPr>
  </w:style>
  <w:style w:type="paragraph" w:customStyle="1" w:styleId="rvps7">
    <w:name w:val="rvps7"/>
    <w:basedOn w:val="a"/>
    <w:rsid w:val="00962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629F6"/>
  </w:style>
  <w:style w:type="paragraph" w:customStyle="1" w:styleId="rvps6">
    <w:name w:val="rvps6"/>
    <w:basedOn w:val="a"/>
    <w:rsid w:val="00962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6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7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5hdorEk/8Hqjey2SvUldNDMs2w==">CgMxLjAyCGguZ2pkZ3hzOAByITFrZUgySHlCbDFxNkZyVDB2TnJZQkd4YU5JVEg3dFRVVg==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6078</Words>
  <Characters>3466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 Pashynska</dc:creator>
  <cp:lastModifiedBy>Мельничук Григорій Валерійович</cp:lastModifiedBy>
  <cp:revision>14</cp:revision>
  <dcterms:created xsi:type="dcterms:W3CDTF">2024-05-02T06:25:00Z</dcterms:created>
  <dcterms:modified xsi:type="dcterms:W3CDTF">2024-12-17T15:34:00Z</dcterms:modified>
</cp:coreProperties>
</file>