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pStyle w:val="P1"/>
        <w:spacing w:lineRule="auto" w:line="276" w:beforeAutospacing="0" w:afterAutospacing="0"/>
        <w:ind w:firstLine="39" w:left="4956"/>
        <w:rPr>
          <w:rFonts w:ascii="Times New Roman" w:hAnsi="Times New Roman"/>
          <w:sz w:val="28"/>
          <w:szCs w:val="28"/>
          <w:lang w:val="uk-UA"/>
        </w:rPr>
      </w:pPr>
      <w:r>
        <w:rPr>
          <w:rFonts w:ascii="Times New Roman" w:hAnsi="Times New Roman"/>
          <w:sz w:val="28"/>
          <w:szCs w:val="28"/>
          <w:lang w:val="uk-UA"/>
        </w:rPr>
        <w:t>Додаток 1</w:t>
      </w:r>
    </w:p>
    <w:p>
      <w:pPr>
        <w:pStyle w:val="P1"/>
        <w:ind w:firstLine="39" w:left="4956"/>
        <w:rPr>
          <w:rFonts w:ascii="Times New Roman" w:hAnsi="Times New Roman"/>
          <w:sz w:val="28"/>
          <w:szCs w:val="28"/>
          <w:lang w:val="uk-UA"/>
        </w:rPr>
      </w:pPr>
      <w:r>
        <w:rPr>
          <w:rFonts w:ascii="Times New Roman" w:hAnsi="Times New Roman"/>
          <w:sz w:val="28"/>
          <w:szCs w:val="28"/>
          <w:lang w:val="uk-UA"/>
        </w:rPr>
        <w:t>до Примірної форми договору</w:t>
      </w:r>
    </w:p>
    <w:p>
      <w:pPr>
        <w:pStyle w:val="P1"/>
        <w:ind w:firstLine="39" w:left="4956"/>
        <w:jc w:val="both"/>
        <w:rPr>
          <w:rFonts w:ascii="Times New Roman" w:hAnsi="Times New Roman"/>
          <w:sz w:val="28"/>
          <w:szCs w:val="28"/>
          <w:lang w:val="uk-UA"/>
        </w:rPr>
      </w:pPr>
      <w:r>
        <w:rPr>
          <w:rFonts w:ascii="Times New Roman" w:hAnsi="Times New Roman"/>
          <w:sz w:val="28"/>
          <w:szCs w:val="28"/>
          <w:lang w:val="uk-UA"/>
        </w:rPr>
        <w:t xml:space="preserve">про надання інженерно-консультаційних послуг у будівництві (послуг інженера-консультанта) </w:t>
      </w:r>
    </w:p>
    <w:p>
      <w:pPr>
        <w:pStyle w:val="P1"/>
        <w:spacing w:lineRule="auto" w:line="276" w:beforeAutospacing="0" w:afterAutospacing="0"/>
        <w:jc w:val="center"/>
        <w:rPr>
          <w:rFonts w:ascii="Times New Roman" w:hAnsi="Times New Roman"/>
          <w:b w:val="1"/>
          <w:sz w:val="28"/>
          <w:szCs w:val="28"/>
          <w:lang w:val="uk-UA"/>
        </w:rPr>
      </w:pPr>
    </w:p>
    <w:p>
      <w:pPr>
        <w:pStyle w:val="P1"/>
        <w:spacing w:lineRule="auto" w:line="276" w:beforeAutospacing="0" w:afterAutospacing="0"/>
        <w:jc w:val="center"/>
        <w:rPr>
          <w:rFonts w:ascii="Times New Roman" w:hAnsi="Times New Roman"/>
          <w:b w:val="1"/>
          <w:sz w:val="28"/>
          <w:szCs w:val="28"/>
          <w:lang w:val="uk-UA"/>
        </w:rPr>
      </w:pPr>
    </w:p>
    <w:p>
      <w:pPr>
        <w:pStyle w:val="P1"/>
        <w:spacing w:lineRule="auto" w:line="276" w:beforeAutospacing="0" w:afterAutospacing="0"/>
        <w:jc w:val="center"/>
        <w:rPr>
          <w:rFonts w:ascii="Times New Roman" w:hAnsi="Times New Roman"/>
          <w:b w:val="1"/>
          <w:sz w:val="28"/>
          <w:szCs w:val="28"/>
          <w:lang w:val="uk-UA"/>
        </w:rPr>
      </w:pPr>
      <w:r>
        <w:rPr>
          <w:rFonts w:ascii="Times New Roman" w:hAnsi="Times New Roman"/>
          <w:b w:val="1"/>
          <w:sz w:val="28"/>
          <w:szCs w:val="28"/>
          <w:lang w:val="uk-UA"/>
        </w:rPr>
        <w:t>Орієнтовний перелік послуг (функцій) Інженера-консультанта</w:t>
      </w:r>
    </w:p>
    <w:p>
      <w:pPr>
        <w:pStyle w:val="P1"/>
        <w:spacing w:lineRule="auto" w:line="276" w:beforeAutospacing="0" w:afterAutospacing="0"/>
        <w:jc w:val="center"/>
        <w:rPr>
          <w:rFonts w:ascii="Times New Roman" w:hAnsi="Times New Roman"/>
          <w:b w:val="1"/>
          <w:sz w:val="28"/>
          <w:szCs w:val="28"/>
          <w:lang w:val="uk-UA"/>
        </w:rPr>
      </w:pPr>
      <w:bookmarkStart w:id="0" w:name="_Hlk170475129"/>
      <w:r>
        <w:rPr>
          <w:rFonts w:ascii="Times New Roman" w:hAnsi="Times New Roman"/>
          <w:b w:val="1"/>
          <w:sz w:val="28"/>
          <w:szCs w:val="28"/>
          <w:lang w:val="uk-UA"/>
        </w:rPr>
        <w:t>(крім проектів з нового будівництва, реконструкції та капітального ремонту автомобільних доріг загального користування</w:t>
      </w:r>
      <w:bookmarkEnd w:id="0"/>
      <w:r>
        <w:rPr>
          <w:rFonts w:ascii="Times New Roman" w:hAnsi="Times New Roman"/>
          <w:b w:val="1"/>
          <w:sz w:val="28"/>
          <w:szCs w:val="28"/>
          <w:lang w:val="uk-UA"/>
        </w:rPr>
        <w:t>)*</w:t>
      </w:r>
    </w:p>
    <w:p>
      <w:pPr>
        <w:pStyle w:val="P1"/>
        <w:spacing w:lineRule="auto" w:line="276" w:beforeAutospacing="0" w:afterAutospacing="0"/>
        <w:jc w:val="center"/>
        <w:rPr>
          <w:rFonts w:ascii="Times New Roman" w:hAnsi="Times New Roman"/>
          <w:b w:val="1"/>
          <w:sz w:val="28"/>
          <w:szCs w:val="28"/>
          <w:lang w:val="uk-UA"/>
        </w:rPr>
      </w:pPr>
    </w:p>
    <w:p>
      <w:pPr>
        <w:spacing w:after="60" w:beforeAutospacing="0" w:afterAutospacing="0"/>
        <w:ind w:firstLine="426"/>
        <w:rPr>
          <w:rFonts w:ascii="Times New Roman" w:hAnsi="Times New Roman"/>
          <w:sz w:val="28"/>
          <w:szCs w:val="28"/>
          <w:lang w:val="uk-UA"/>
        </w:rPr>
      </w:pPr>
      <w:r>
        <w:rPr>
          <w:rFonts w:ascii="Times New Roman" w:hAnsi="Times New Roman"/>
          <w:sz w:val="28"/>
          <w:szCs w:val="28"/>
          <w:lang w:val="uk-UA"/>
        </w:rPr>
        <w:t>За Договором № _____ від «___» _________20__ р. Інженер-консультант надає Замовнику такі Послуги (виконує такі функції):</w:t>
      </w:r>
    </w:p>
    <w:tbl>
      <w:tblPr>
        <w:tblW w:w="9923" w:type="dxa"/>
        <w:tblLook w:val="00A0"/>
      </w:tblPr>
      <w:tblGrid/>
      <w:tr>
        <w:tc>
          <w:tcPr>
            <w:tcW w:w="851" w:type="dxa"/>
            <w:vAlign w:val="center"/>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1.</w:t>
            </w:r>
          </w:p>
        </w:tc>
        <w:tc>
          <w:tcPr>
            <w:tcW w:w="9072" w:type="dxa"/>
            <w:vAlign w:val="center"/>
          </w:tcPr>
          <w:p>
            <w:pPr>
              <w:pStyle w:val="P1"/>
              <w:spacing w:lineRule="auto" w:line="276" w:beforeAutospacing="0" w:afterAutospacing="0"/>
              <w:rPr>
                <w:rFonts w:ascii="Times New Roman" w:hAnsi="Times New Roman"/>
                <w:sz w:val="28"/>
                <w:szCs w:val="28"/>
                <w:lang w:val="uk-UA"/>
              </w:rPr>
            </w:pPr>
            <w:r>
              <w:rPr>
                <w:rFonts w:ascii="Times New Roman" w:hAnsi="Times New Roman"/>
                <w:b w:val="1"/>
                <w:sz w:val="28"/>
                <w:szCs w:val="28"/>
                <w:lang w:val="uk-UA" w:eastAsia="ru-RU"/>
              </w:rPr>
              <w:t>на етапі передпроектних робіт</w:t>
            </w:r>
            <w:r>
              <w:rPr>
                <w:rFonts w:ascii="Times New Roman" w:hAnsi="Times New Roman"/>
                <w:sz w:val="28"/>
                <w:szCs w:val="28"/>
                <w:lang w:val="uk-UA" w:eastAsia="ru-RU"/>
              </w:rPr>
              <w:t>:</w:t>
            </w:r>
          </w:p>
        </w:tc>
      </w:tr>
      <w:tr>
        <w:tc>
          <w:tcPr>
            <w:tcW w:w="851" w:type="dxa"/>
            <w:vAlign w:val="center"/>
          </w:tcPr>
          <w:p>
            <w:pPr>
              <w:pStyle w:val="P1"/>
              <w:spacing w:lineRule="auto" w:line="276" w:before="100" w:after="720" w:beforeAutospacing="1" w:afterAutospacing="0"/>
              <w:jc w:val="both"/>
              <w:rPr>
                <w:rFonts w:ascii="Times New Roman" w:hAnsi="Times New Roman"/>
                <w:sz w:val="28"/>
                <w:szCs w:val="28"/>
                <w:lang w:val="uk-UA"/>
              </w:rPr>
            </w:pPr>
            <w:r>
              <w:rPr>
                <w:rFonts w:ascii="Times New Roman" w:hAnsi="Times New Roman"/>
                <w:sz w:val="28"/>
                <w:szCs w:val="28"/>
                <w:lang w:val="uk-UA"/>
              </w:rPr>
              <w:t>1.1.</w:t>
            </w:r>
          </w:p>
        </w:tc>
        <w:tc>
          <w:tcPr>
            <w:tcW w:w="9072" w:type="dxa"/>
            <w:vAlign w:val="center"/>
          </w:tcPr>
          <w:p>
            <w:pPr>
              <w:pStyle w:val="P1"/>
              <w:spacing w:lineRule="auto" w:line="276" w:beforeAutospacing="0" w:afterAutospacing="0"/>
              <w:rPr>
                <w:rFonts w:ascii="Times New Roman" w:hAnsi="Times New Roman"/>
                <w:b w:val="1"/>
                <w:sz w:val="28"/>
                <w:szCs w:val="28"/>
                <w:lang w:val="uk-UA" w:eastAsia="ru-RU"/>
              </w:rPr>
            </w:pPr>
            <w:r>
              <w:rPr>
                <w:rFonts w:ascii="Times New Roman" w:hAnsi="Times New Roman"/>
                <w:sz w:val="28"/>
                <w:szCs w:val="28"/>
                <w:lang w:val="uk-UA" w:eastAsia="ru-RU"/>
              </w:rPr>
              <w:t xml:space="preserve">надання Замовнику консультацій з питань  формування інвестиційних намірів, розроблення  організаційно-фінансових механізмів реалізації проекту, управління ризиками;</w:t>
            </w:r>
          </w:p>
        </w:tc>
      </w:tr>
      <w:tr>
        <w:tc>
          <w:tcPr>
            <w:tcW w:w="851" w:type="dxa"/>
            <w:vAlign w:val="center"/>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1.2.</w:t>
            </w:r>
          </w:p>
        </w:tc>
        <w:tc>
          <w:tcPr>
            <w:tcW w:w="9072" w:type="dxa"/>
            <w:vAlign w:val="center"/>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 xml:space="preserve">участь у виконанні передпроектних робіт; </w:t>
            </w:r>
          </w:p>
        </w:tc>
      </w:tr>
      <w:tr>
        <w:tc>
          <w:tcPr>
            <w:tcW w:w="851" w:type="dxa"/>
            <w:vAlign w:val="center"/>
          </w:tcPr>
          <w:p>
            <w:pPr>
              <w:pStyle w:val="P1"/>
              <w:spacing w:lineRule="auto" w:line="276" w:after="720" w:beforeAutospacing="0" w:afterAutospacing="0"/>
              <w:jc w:val="both"/>
              <w:rPr>
                <w:rFonts w:ascii="Times New Roman" w:hAnsi="Times New Roman"/>
                <w:sz w:val="28"/>
                <w:szCs w:val="28"/>
                <w:lang w:val="uk-UA"/>
              </w:rPr>
            </w:pPr>
            <w:r>
              <w:rPr>
                <w:rFonts w:ascii="Times New Roman" w:hAnsi="Times New Roman"/>
                <w:sz w:val="28"/>
                <w:szCs w:val="28"/>
                <w:lang w:val="uk-UA"/>
              </w:rPr>
              <w:t>1.3.</w:t>
            </w:r>
          </w:p>
        </w:tc>
        <w:tc>
          <w:tcPr>
            <w:tcW w:w="9072" w:type="dxa"/>
            <w:vAlign w:val="center"/>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 xml:space="preserve">аналіз проблем, спорів і претензій, що виникають під  час виконання передпроектних робіт, розроблення пропозицій щодо їх усунення, вжиття заходів для досудового врегулювання спорів, у т.ч. медіація;</w:t>
            </w:r>
          </w:p>
        </w:tc>
      </w:tr>
      <w:tr>
        <w:tc>
          <w:tcPr>
            <w:tcW w:w="851" w:type="dxa"/>
            <w:vAlign w:val="center"/>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2.</w:t>
            </w:r>
          </w:p>
        </w:tc>
        <w:tc>
          <w:tcPr>
            <w:tcW w:w="9072" w:type="dxa"/>
            <w:vAlign w:val="center"/>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b w:val="1"/>
                <w:sz w:val="28"/>
                <w:szCs w:val="28"/>
                <w:lang w:val="uk-UA" w:eastAsia="ru-RU"/>
              </w:rPr>
              <w:t>на етапі проектування</w:t>
            </w:r>
            <w:r>
              <w:rPr>
                <w:rFonts w:ascii="Times New Roman" w:hAnsi="Times New Roman"/>
                <w:sz w:val="28"/>
                <w:szCs w:val="28"/>
                <w:lang w:val="uk-UA" w:eastAsia="ru-RU"/>
              </w:rPr>
              <w:t>:</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2.1.</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 xml:space="preserve">участь в отриманні вихідних даних, підготовці завдання на проектування, матеріалів для проведення  оцінки впливу на довкілля; </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2.2.</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 xml:space="preserve">аналіз вихідних даних, надання Замовнику  пропозицій щодо кількості стадій проектування, черг  будівництва, удосконалення проектних рішень, методів виконання робіт, організації будівництва, вибору будівельної продукції та обладнання, супроводження розроблення та експертизи проектної  документації на всіх стадіях проектування; </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2.3.</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 xml:space="preserve">аналіз проблем, спорів і претензій, що виникають під  час проектування, розроблення пропозицій щодо їх  усунення, вжиття заходів для досудового врегулювання спорів, у т.ч. медіація</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3.</w:t>
            </w:r>
          </w:p>
        </w:tc>
        <w:tc>
          <w:tcPr>
            <w:tcW w:w="9072"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b w:val="1"/>
                <w:sz w:val="28"/>
                <w:szCs w:val="28"/>
                <w:lang w:val="uk-UA" w:eastAsia="ru-RU"/>
              </w:rPr>
              <w:t>на стадії закупівель робіт та послуг**</w:t>
            </w:r>
            <w:r>
              <w:rPr>
                <w:rFonts w:ascii="Times New Roman" w:hAnsi="Times New Roman"/>
                <w:sz w:val="28"/>
                <w:szCs w:val="28"/>
                <w:lang w:val="uk-UA" w:eastAsia="ru-RU"/>
              </w:rPr>
              <w:t>:</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3.1.</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 xml:space="preserve">консультування Замовника з питань залучення проектних організацій, участь у підготовці і  проведенні закупівель, розробленні документації, пов’язаної із закупівлями, переліку вимог і критеріїв до учасників, підготовці договорів;</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3.2.</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 xml:space="preserve">надання Замовнику консультацій з питань залучення  підрядних організацій, виконавця технічного нагляду, вибору постачальників, участь у підготовці </w:t>
            </w:r>
            <w:r>
              <w:rPr>
                <w:rFonts w:ascii="Times New Roman" w:hAnsi="Times New Roman"/>
                <w:smallCaps w:val="0"/>
                <w:sz w:val="28"/>
                <w:szCs w:val="22"/>
                <w:cs w:val="0"/>
                <w:spacing w:val="0"/>
                <w:w w:val="100"/>
                <w:position w:val="0"/>
                <w:snapToGrid w:val="1"/>
                <w:lang w:val="uk-UA" w:eastAsia="ru-RU"/>
              </w:rPr>
              <w:t xml:space="preserve"> </w:t>
            </w:r>
            <w:r>
              <w:rPr>
                <w:rFonts w:ascii="Times New Roman" w:hAnsi="Times New Roman"/>
                <w:sz w:val="28"/>
                <w:szCs w:val="28"/>
                <w:lang w:val="uk-UA" w:eastAsia="ru-RU"/>
              </w:rPr>
              <w:t xml:space="preserve">і </w:t>
            </w:r>
            <w:r>
              <w:rPr>
                <w:rFonts w:ascii="Times New Roman" w:hAnsi="Times New Roman"/>
                <w:smallCaps w:val="0"/>
                <w:sz w:val="28"/>
                <w:szCs w:val="22"/>
                <w:cs w:val="0"/>
                <w:spacing w:val="0"/>
                <w:w w:val="100"/>
                <w:position w:val="0"/>
                <w:snapToGrid w:val="1"/>
                <w:lang w:val="uk-UA" w:eastAsia="ru-RU"/>
              </w:rPr>
              <w:t xml:space="preserve"> </w:t>
            </w:r>
            <w:r>
              <w:rPr>
                <w:rFonts w:ascii="Times New Roman" w:hAnsi="Times New Roman"/>
                <w:sz w:val="28"/>
                <w:szCs w:val="28"/>
                <w:lang w:val="uk-UA" w:eastAsia="ru-RU"/>
              </w:rPr>
              <w:t xml:space="preserve">проведенні </w:t>
            </w:r>
            <w:r>
              <w:rPr>
                <w:rFonts w:ascii="Times New Roman" w:hAnsi="Times New Roman"/>
                <w:smallCaps w:val="0"/>
                <w:sz w:val="28"/>
                <w:szCs w:val="22"/>
                <w:cs w:val="0"/>
                <w:spacing w:val="0"/>
                <w:w w:val="100"/>
                <w:position w:val="0"/>
                <w:snapToGrid w:val="1"/>
                <w:lang w:val="uk-UA" w:eastAsia="ru-RU"/>
              </w:rPr>
              <w:t xml:space="preserve"> </w:t>
            </w:r>
            <w:r>
              <w:rPr>
                <w:rFonts w:ascii="Times New Roman" w:hAnsi="Times New Roman"/>
                <w:sz w:val="28"/>
                <w:szCs w:val="28"/>
                <w:lang w:val="uk-UA" w:eastAsia="ru-RU"/>
              </w:rPr>
              <w:t xml:space="preserve">закупівель, </w:t>
            </w:r>
            <w:r>
              <w:rPr>
                <w:rFonts w:ascii="Times New Roman" w:hAnsi="Times New Roman"/>
                <w:smallCaps w:val="0"/>
                <w:sz w:val="28"/>
                <w:szCs w:val="22"/>
                <w:cs w:val="0"/>
                <w:spacing w:val="0"/>
                <w:w w:val="100"/>
                <w:position w:val="0"/>
                <w:snapToGrid w:val="1"/>
                <w:lang w:val="uk-UA" w:eastAsia="ru-RU"/>
              </w:rPr>
              <w:t xml:space="preserve"> </w:t>
            </w:r>
            <w:r>
              <w:rPr>
                <w:rFonts w:ascii="Times New Roman" w:hAnsi="Times New Roman"/>
                <w:sz w:val="28"/>
                <w:szCs w:val="28"/>
                <w:lang w:val="uk-UA" w:eastAsia="ru-RU"/>
              </w:rPr>
              <w:t xml:space="preserve">розробленні </w:t>
            </w:r>
            <w:r>
              <w:rPr>
                <w:rFonts w:ascii="Times New Roman" w:hAnsi="Times New Roman"/>
                <w:smallCaps w:val="0"/>
                <w:sz w:val="28"/>
                <w:szCs w:val="22"/>
                <w:cs w:val="0"/>
                <w:spacing w:val="0"/>
                <w:w w:val="100"/>
                <w:position w:val="0"/>
                <w:snapToGrid w:val="1"/>
                <w:lang w:val="uk-UA" w:eastAsia="ru-RU"/>
              </w:rPr>
              <w:t xml:space="preserve"> </w:t>
            </w:r>
            <w:r>
              <w:rPr>
                <w:rFonts w:ascii="Times New Roman" w:hAnsi="Times New Roman"/>
                <w:sz w:val="28"/>
                <w:szCs w:val="28"/>
                <w:lang w:val="uk-UA" w:eastAsia="ru-RU"/>
              </w:rPr>
              <w:t xml:space="preserve">документації, </w:t>
            </w:r>
          </w:p>
          <w:p>
            <w:pPr>
              <w:pStyle w:val="P1"/>
              <w:spacing w:lineRule="auto" w:line="276" w:beforeAutospacing="0" w:afterAutospacing="0"/>
              <w:ind w:firstLine="4564" w:left="0"/>
              <w:jc w:val="both"/>
              <w:rPr>
                <w:rFonts w:ascii="Times" w:hAnsi="Times"/>
                <w:smallCaps w:val="0"/>
                <w:sz w:val="28"/>
                <w:szCs w:val="22"/>
                <w:cs w:val="0"/>
                <w:spacing w:val="0"/>
                <w:w w:val="100"/>
                <w:position w:val="0"/>
                <w:snapToGrid w:val="1"/>
                <w:lang w:val="uk-UA" w:eastAsia="ru-RU"/>
              </w:rPr>
            </w:pPr>
            <w:r>
              <w:rPr>
                <w:rFonts w:ascii="Times" w:hAnsi="Times"/>
                <w:smallCaps w:val="0"/>
                <w:sz w:val="28"/>
                <w:szCs w:val="22"/>
                <w:cs w:val="0"/>
                <w:spacing w:val="0"/>
                <w:w w:val="100"/>
                <w:position w:val="0"/>
                <w:snapToGrid w:val="1"/>
                <w:lang w:val="uk-UA" w:eastAsia="ru-RU"/>
              </w:rPr>
              <w:t xml:space="preserve">                 Продовження додатка 1</w:t>
            </w:r>
          </w:p>
          <w:p>
            <w:pPr>
              <w:pStyle w:val="P1"/>
              <w:spacing w:lineRule="auto" w:line="276" w:beforeAutospacing="0" w:afterAutospacing="0"/>
              <w:jc w:val="both"/>
              <w:rPr>
                <w:rFonts w:ascii="Times New Roman" w:hAnsi="Times New Roman"/>
                <w:sz w:val="28"/>
                <w:szCs w:val="28"/>
                <w:lang w:val="uk-UA" w:eastAsia="ru-RU"/>
              </w:rPr>
            </w:pPr>
          </w:p>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 xml:space="preserve">пов’язаної із закупівлями, переліку вимог і критеріїв до учасників, підготовці договорів, надання  пропозицій щодо визначення сторони, відповідальної за страхування (за наявності);</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w:t>
            </w:r>
          </w:p>
        </w:tc>
        <w:tc>
          <w:tcPr>
            <w:tcW w:w="9072"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b w:val="1"/>
                <w:sz w:val="28"/>
                <w:szCs w:val="28"/>
                <w:lang w:val="uk-UA" w:eastAsia="ru-RU"/>
              </w:rPr>
              <w:t>на етапі будівництва (нове будівництво, реконструкція, реставрація, капітальний ремонт)</w:t>
            </w:r>
            <w:r>
              <w:rPr>
                <w:rFonts w:ascii="Times New Roman" w:hAnsi="Times New Roman"/>
                <w:sz w:val="28"/>
                <w:szCs w:val="28"/>
                <w:lang w:val="uk-UA" w:eastAsia="ru-RU"/>
              </w:rPr>
              <w:t>:</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4.1.</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 xml:space="preserve">здійснення управління проектом, представлення інтересів Замовника та забезпечення взаємодії з органами державної влади, органами місцевого самоврядування, підприємствами, установами та організаціями, зокрема під час отримання адміністративних послуг, у тому числі здійснення дозвільних (погоджувальних) процедур, та проведення перевірок; </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4.2.</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консультування Замовника з питань забезпечення організації управління з охорони праці на будівельному майданчику та координації заходів з охорони праці, участь у розробленні плану з охорони праці;</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4.3.</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 xml:space="preserve">аналіз проектної документації та надання Замовнику пропозицій щодо удосконалення інженерно-конструкторських рішень, методів виконання робіт, організації будівництва, вибору  будівельної продукції та обладнання для забезпечення надійності та оптимізації вартості  будівництва; </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4.4.</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моніторинг дотримання Підрядником графіків виконання робіт, витрат, відповідності будівництва графікам фінансування;</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4.5.</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 xml:space="preserve">організація нагляду за здійсненням Підрядником вхідного та  операційного контролю, зокрема перевірка наявності документів, що засвідчують якість будівельних матеріалів, виробів та конструкцій, які надходять до місця виконання робіт;</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4.6.</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моніторинг забезпечення інженерами технічного нагляду контролю за якістю та обсягами виконаних робіт, зокрема з використанням візуального та інструментальних методів контролю;</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4.7.</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інформування Замовника про наявність проблемних питань, які виникли або можуть виникнути в ході виконання робіт;</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4.8.</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надання Підряднику та інженеру технічного нагляду рекомендацій щодо усунення порушень під час виконання робіт та контроль за ходом виконання таких рекомендацій;</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4.9.</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 xml:space="preserve">аналіз проблем, спорів і претензій, що виникають під час будівництва, розроблення пропозицій щодо їх усунення, вжиття  заходів для досудового врегулювання спорів, у т.ч. медіація;</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4.10.</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розгляд наданих Підрядником пропозицій щодо продовження строків виконання робіт, необхідності виконання додаткових робіт;</w:t>
            </w:r>
          </w:p>
          <w:p>
            <w:pPr>
              <w:pStyle w:val="P1"/>
              <w:spacing w:lineRule="auto" w:line="276" w:beforeAutospacing="0" w:afterAutospacing="0"/>
              <w:jc w:val="both"/>
              <w:rPr>
                <w:rFonts w:ascii="Times" w:hAnsi="Times"/>
                <w:smallCaps w:val="0"/>
                <w:sz w:val="28"/>
                <w:szCs w:val="22"/>
                <w:cs w:val="0"/>
                <w:spacing w:val="0"/>
                <w:w w:val="100"/>
                <w:position w:val="0"/>
                <w:snapToGrid w:val="1"/>
                <w:lang w:val="uk-UA" w:eastAsia="ru-RU"/>
              </w:rPr>
            </w:pPr>
            <w:r>
              <w:rPr>
                <w:rFonts w:ascii="Times" w:hAnsi="Times"/>
                <w:smallCaps w:val="0"/>
                <w:sz w:val="28"/>
                <w:szCs w:val="22"/>
                <w:cs w:val="0"/>
                <w:spacing w:val="0"/>
                <w:w w:val="100"/>
                <w:position w:val="0"/>
                <w:snapToGrid w:val="1"/>
                <w:lang w:val="uk-UA" w:eastAsia="ru-RU"/>
              </w:rPr>
              <w:t xml:space="preserve">                                                                                    Продовження додатка 1</w:t>
            </w:r>
          </w:p>
          <w:p>
            <w:pPr>
              <w:pStyle w:val="P1"/>
              <w:spacing w:lineRule="auto" w:line="276" w:beforeAutospacing="0" w:afterAutospacing="0"/>
              <w:jc w:val="both"/>
              <w:rPr>
                <w:rFonts w:ascii="Times New Roman" w:hAnsi="Times New Roman"/>
                <w:sz w:val="28"/>
                <w:szCs w:val="28"/>
                <w:lang w:val="uk-UA" w:eastAsia="ru-RU"/>
              </w:rPr>
            </w:pP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4.11.</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 xml:space="preserve">внесення Замовнику пропозицій щодо розірвання в установленому порядку договорів з Підрядниками та інженером  технічного нагляду, які систематично порушують умови договору підряду;</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4.12.</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участь в організації підключення Об’єкта до інженерних мереж та прийнятті в експлуатацію;</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4.13.</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інформування Замовника про припинення або зупинення надання Послуг у строки та у порядку, що встановлені Договором;</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4.14.</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прийняття від імені Замовника відповідних рішень та виконання інших функцій, визначених Договором.</w:t>
            </w:r>
          </w:p>
        </w:tc>
      </w:tr>
    </w:tbl>
    <w:p>
      <w:pPr>
        <w:pStyle w:val="P1"/>
        <w:spacing w:lineRule="auto" w:line="276" w:beforeAutospacing="0" w:afterAutospacing="0"/>
        <w:jc w:val="both"/>
        <w:rPr>
          <w:rFonts w:ascii="Times New Roman" w:hAnsi="Times New Roman"/>
          <w:sz w:val="20"/>
          <w:szCs w:val="20"/>
          <w:lang w:val="uk-UA"/>
        </w:rPr>
      </w:pPr>
    </w:p>
    <w:p/>
    <w:tbl>
      <w:tblPr>
        <w:tblW w:w="5001" w:type="pct"/>
        <w:tblLayout w:type="fixed"/>
        <w:tblLook w:val="0000"/>
      </w:tblPr>
      <w:tblGrid/>
      <w:tr>
        <w:trPr>
          <w:trHeight w:hRule="atLeast" w:val="572"/>
        </w:trPr>
        <w:tc>
          <w:tcPr>
            <w:tcW w:w="2611" w:type="pct"/>
          </w:tcPr>
          <w:p>
            <w:pPr>
              <w:spacing w:lineRule="auto" w:line="276" w:beforeAutospacing="0" w:afterAutospacing="0"/>
              <w:ind w:firstLine="0" w:left="-465"/>
              <w:jc w:val="center"/>
              <w:rPr>
                <w:rFonts w:ascii="Times New Roman" w:hAnsi="Times New Roman"/>
                <w:b w:val="1"/>
                <w:color w:val="000000"/>
                <w:sz w:val="28"/>
                <w:szCs w:val="28"/>
                <w:lang w:val="uk-UA"/>
              </w:rPr>
            </w:pPr>
            <w:r>
              <w:rPr>
                <w:rFonts w:ascii="Times New Roman" w:hAnsi="Times New Roman"/>
                <w:b w:val="1"/>
                <w:color w:val="000000"/>
                <w:sz w:val="28"/>
                <w:szCs w:val="28"/>
                <w:lang w:val="uk-UA"/>
              </w:rPr>
              <w:t>Замовник</w:t>
            </w:r>
          </w:p>
          <w:p>
            <w:pPr>
              <w:spacing w:lineRule="auto" w:line="276" w:beforeAutospacing="0" w:afterAutospacing="0"/>
              <w:ind w:firstLine="0" w:left="-465"/>
              <w:jc w:val="center"/>
              <w:rPr>
                <w:rFonts w:ascii="Times New Roman" w:hAnsi="Times New Roman"/>
                <w:color w:val="000000"/>
                <w:sz w:val="28"/>
                <w:szCs w:val="28"/>
                <w:lang w:val="uk-UA"/>
              </w:rPr>
            </w:pPr>
            <w:r>
              <w:rPr>
                <w:rFonts w:ascii="Times New Roman" w:hAnsi="Times New Roman"/>
                <w:color w:val="000000"/>
                <w:sz w:val="28"/>
                <w:szCs w:val="28"/>
                <w:lang w:val="uk-UA"/>
              </w:rPr>
              <w:t>____________________________</w:t>
            </w:r>
          </w:p>
          <w:p>
            <w:pPr>
              <w:spacing w:lineRule="auto" w:line="276" w:beforeAutospacing="0" w:afterAutospacing="0"/>
              <w:ind w:firstLine="0" w:left="-465"/>
              <w:jc w:val="center"/>
              <w:rPr>
                <w:rFonts w:ascii="Times New Roman" w:hAnsi="Times New Roman"/>
                <w:color w:val="000000"/>
                <w:sz w:val="20"/>
                <w:szCs w:val="20"/>
                <w:lang w:val="uk-UA"/>
              </w:rPr>
            </w:pPr>
            <w:r>
              <w:rPr>
                <w:rFonts w:ascii="Times New Roman" w:hAnsi="Times New Roman"/>
                <w:color w:val="000000"/>
                <w:sz w:val="20"/>
                <w:szCs w:val="20"/>
                <w:lang w:val="uk-UA"/>
              </w:rPr>
              <w:t>(посада, прізвище, ініціали, підпис)</w:t>
            </w:r>
          </w:p>
        </w:tc>
        <w:tc>
          <w:tcPr>
            <w:tcW w:w="2389" w:type="pct"/>
          </w:tcPr>
          <w:p>
            <w:pPr>
              <w:spacing w:lineRule="auto" w:line="276" w:beforeAutospacing="0" w:afterAutospacing="0"/>
              <w:ind w:firstLine="0" w:left="-465"/>
              <w:jc w:val="center"/>
              <w:rPr>
                <w:rFonts w:ascii="Times New Roman" w:hAnsi="Times New Roman"/>
                <w:b w:val="1"/>
                <w:color w:val="000000"/>
                <w:sz w:val="28"/>
                <w:szCs w:val="28"/>
                <w:lang w:val="uk-UA"/>
              </w:rPr>
            </w:pPr>
            <w:r>
              <w:rPr>
                <w:rFonts w:ascii="Times New Roman" w:hAnsi="Times New Roman"/>
                <w:b w:val="1"/>
                <w:color w:val="000000"/>
                <w:sz w:val="28"/>
                <w:szCs w:val="28"/>
                <w:lang w:val="uk-UA"/>
              </w:rPr>
              <w:t>Інженер-консультант</w:t>
            </w:r>
          </w:p>
          <w:p>
            <w:pPr>
              <w:spacing w:lineRule="auto" w:line="276" w:beforeAutospacing="0" w:afterAutospacing="0"/>
              <w:ind w:firstLine="0" w:left="-465"/>
              <w:jc w:val="center"/>
              <w:rPr>
                <w:rFonts w:ascii="Times New Roman" w:hAnsi="Times New Roman"/>
                <w:color w:val="000000"/>
                <w:sz w:val="28"/>
                <w:szCs w:val="28"/>
                <w:lang w:val="uk-UA"/>
              </w:rPr>
            </w:pPr>
            <w:r>
              <w:rPr>
                <w:rFonts w:ascii="Times New Roman" w:hAnsi="Times New Roman"/>
                <w:color w:val="000000"/>
                <w:sz w:val="28"/>
                <w:szCs w:val="28"/>
                <w:lang w:val="uk-UA"/>
              </w:rPr>
              <w:t>___________________________</w:t>
            </w:r>
          </w:p>
          <w:p>
            <w:pPr>
              <w:spacing w:lineRule="auto" w:line="276" w:beforeAutospacing="0" w:afterAutospacing="0"/>
              <w:ind w:firstLine="0" w:left="-465"/>
              <w:jc w:val="center"/>
              <w:rPr>
                <w:rFonts w:ascii="Times New Roman" w:hAnsi="Times New Roman"/>
                <w:color w:val="000000"/>
                <w:sz w:val="28"/>
                <w:szCs w:val="28"/>
                <w:lang w:val="uk-UA"/>
              </w:rPr>
            </w:pPr>
            <w:r>
              <w:rPr>
                <w:rFonts w:ascii="Times New Roman" w:hAnsi="Times New Roman"/>
                <w:color w:val="000000"/>
                <w:sz w:val="20"/>
                <w:szCs w:val="20"/>
                <w:lang w:val="uk-UA"/>
              </w:rPr>
              <w:t>(посада, прізвище, ініціали, підпис)</w:t>
            </w:r>
          </w:p>
        </w:tc>
      </w:tr>
      <w:tr>
        <w:tblPrEx>
          <w:tblLook w:val="00A0"/>
        </w:tblPrEx>
        <w:tc>
          <w:tcPr>
            <w:tcW w:w="2611" w:type="pct"/>
          </w:tcPr>
          <w:p>
            <w:pPr>
              <w:spacing w:lineRule="atLeast" w:line="240" w:beforeAutospacing="0" w:afterAutospacing="0"/>
              <w:ind w:firstLine="0" w:left="142" w:right="136"/>
              <w:jc w:val="left"/>
              <w:rPr>
                <w:rFonts w:ascii="Times New Roman" w:hAnsi="Times New Roman"/>
                <w:color w:val="000000"/>
                <w:sz w:val="28"/>
                <w:szCs w:val="28"/>
                <w:lang w:val="uk-UA"/>
              </w:rPr>
            </w:pPr>
            <w:r>
              <w:rPr>
                <w:rFonts w:ascii="Times New Roman" w:hAnsi="Times New Roman"/>
                <w:color w:val="000000"/>
                <w:sz w:val="28"/>
                <w:szCs w:val="28"/>
                <w:lang w:val="uk-UA"/>
              </w:rPr>
              <w:t>М.П.</w:t>
            </w:r>
          </w:p>
          <w:p>
            <w:pPr>
              <w:pStyle w:val="P1"/>
              <w:spacing w:lineRule="atLeast" w:line="240" w:beforeAutospacing="0" w:afterAutospacing="0"/>
              <w:jc w:val="both"/>
              <w:rPr>
                <w:rFonts w:ascii="Times New Roman" w:hAnsi="Times New Roman"/>
                <w:color w:val="000000"/>
                <w:sz w:val="16"/>
                <w:szCs w:val="16"/>
                <w:lang w:val="uk-UA"/>
              </w:rPr>
            </w:pPr>
            <w:r>
              <w:rPr>
                <w:rFonts w:ascii="Times New Roman" w:hAnsi="Times New Roman"/>
                <w:color w:val="000000"/>
                <w:sz w:val="16"/>
                <w:szCs w:val="16"/>
                <w:lang w:val="uk-UA"/>
              </w:rPr>
              <w:t>(за наявності)</w:t>
            </w:r>
          </w:p>
          <w:p>
            <w:pPr>
              <w:pStyle w:val="P1"/>
              <w:spacing w:lineRule="auto" w:line="276" w:beforeAutospacing="0" w:afterAutospacing="0"/>
              <w:jc w:val="both"/>
              <w:rPr>
                <w:rFonts w:ascii="Times New Roman" w:hAnsi="Times New Roman"/>
                <w:sz w:val="28"/>
                <w:szCs w:val="28"/>
                <w:lang w:val="uk-UA"/>
              </w:rPr>
            </w:pPr>
            <w:r>
              <w:rPr>
                <w:rFonts w:ascii="Times New Roman" w:hAnsi="Times New Roman"/>
                <w:color w:val="000000"/>
                <w:sz w:val="28"/>
                <w:szCs w:val="28"/>
                <w:lang w:val="uk-UA"/>
              </w:rPr>
              <w:t xml:space="preserve"> «___» ____________20__ року</w:t>
            </w:r>
          </w:p>
        </w:tc>
        <w:tc>
          <w:tcPr>
            <w:tcW w:w="2389" w:type="pct"/>
          </w:tcPr>
          <w:p>
            <w:pPr>
              <w:spacing w:lineRule="atLeast" w:line="240" w:beforeAutospacing="0" w:afterAutospacing="0"/>
              <w:ind w:firstLine="0" w:left="142" w:right="136"/>
              <w:jc w:val="left"/>
              <w:rPr>
                <w:rFonts w:ascii="Times New Roman" w:hAnsi="Times New Roman"/>
                <w:color w:val="000000"/>
                <w:sz w:val="28"/>
                <w:szCs w:val="28"/>
                <w:lang w:val="uk-UA"/>
              </w:rPr>
            </w:pPr>
            <w:r>
              <w:rPr>
                <w:rFonts w:ascii="Times New Roman" w:hAnsi="Times New Roman"/>
                <w:color w:val="000000"/>
                <w:sz w:val="28"/>
                <w:szCs w:val="28"/>
                <w:lang w:val="uk-UA"/>
              </w:rPr>
              <w:t>М.П.</w:t>
            </w:r>
          </w:p>
          <w:p>
            <w:pPr>
              <w:pStyle w:val="P1"/>
              <w:spacing w:lineRule="atLeast" w:line="240" w:beforeAutospacing="0" w:afterAutospacing="0"/>
              <w:ind w:right="-1104"/>
              <w:rPr>
                <w:rFonts w:ascii="Times New Roman" w:hAnsi="Times New Roman"/>
                <w:color w:val="000000"/>
                <w:sz w:val="28"/>
                <w:szCs w:val="28"/>
                <w:lang w:val="uk-UA"/>
              </w:rPr>
            </w:pPr>
            <w:r>
              <w:rPr>
                <w:rFonts w:ascii="Times New Roman" w:hAnsi="Times New Roman"/>
                <w:color w:val="000000"/>
                <w:sz w:val="16"/>
                <w:szCs w:val="16"/>
                <w:lang w:val="uk-UA"/>
              </w:rPr>
              <w:t>(за наявності)</w:t>
            </w:r>
            <w:r>
              <w:rPr>
                <w:rFonts w:ascii="Times New Roman" w:hAnsi="Times New Roman"/>
                <w:color w:val="000000"/>
                <w:sz w:val="28"/>
                <w:szCs w:val="28"/>
                <w:lang w:val="uk-UA"/>
              </w:rPr>
              <w:t xml:space="preserve"> </w:t>
            </w:r>
          </w:p>
          <w:p>
            <w:pPr>
              <w:pStyle w:val="P1"/>
              <w:spacing w:lineRule="atLeast" w:line="240" w:beforeAutospacing="0" w:afterAutospacing="0"/>
              <w:ind w:right="-1104"/>
              <w:rPr>
                <w:rFonts w:ascii="Times New Roman" w:hAnsi="Times New Roman"/>
                <w:sz w:val="28"/>
                <w:szCs w:val="28"/>
                <w:lang w:val="uk-UA"/>
              </w:rPr>
            </w:pPr>
            <w:r>
              <w:rPr>
                <w:rFonts w:ascii="Times New Roman" w:hAnsi="Times New Roman"/>
                <w:color w:val="000000"/>
                <w:sz w:val="28"/>
                <w:szCs w:val="28"/>
                <w:lang w:val="uk-UA"/>
              </w:rPr>
              <w:t>«___»____________20__ року</w:t>
            </w:r>
          </w:p>
        </w:tc>
      </w:tr>
    </w:tbl>
    <w:p>
      <w:pPr>
        <w:pStyle w:val="P1"/>
        <w:spacing w:lineRule="auto" w:line="276" w:beforeAutospacing="0" w:afterAutospacing="0"/>
        <w:rPr>
          <w:rFonts w:ascii="Times New Roman" w:hAnsi="Times New Roman"/>
          <w:b w:val="1"/>
          <w:sz w:val="28"/>
          <w:szCs w:val="28"/>
          <w:lang w:val="uk-UA"/>
        </w:rPr>
      </w:pPr>
    </w:p>
    <w:p>
      <w:pPr>
        <w:pStyle w:val="P1"/>
        <w:spacing w:lineRule="auto" w:line="276" w:beforeAutospacing="0" w:afterAutospacing="0"/>
        <w:jc w:val="both"/>
        <w:rPr>
          <w:rFonts w:ascii="Times New Roman" w:hAnsi="Times New Roman"/>
          <w:sz w:val="24"/>
          <w:szCs w:val="24"/>
          <w:lang w:val="uk-UA"/>
        </w:rPr>
      </w:pPr>
    </w:p>
    <w:p>
      <w:pPr>
        <w:pStyle w:val="P1"/>
        <w:spacing w:lineRule="auto" w:line="276" w:beforeAutospacing="0" w:afterAutospacing="0"/>
        <w:jc w:val="both"/>
        <w:rPr>
          <w:rFonts w:ascii="Times New Roman" w:hAnsi="Times New Roman"/>
          <w:sz w:val="24"/>
          <w:szCs w:val="24"/>
          <w:lang w:val="uk-UA"/>
        </w:rPr>
      </w:pPr>
    </w:p>
    <w:p>
      <w:pPr>
        <w:pStyle w:val="P1"/>
        <w:spacing w:lineRule="auto" w:line="276" w:beforeAutospacing="0" w:afterAutospacing="0"/>
        <w:jc w:val="both"/>
        <w:rPr>
          <w:rFonts w:ascii="Times New Roman" w:hAnsi="Times New Roman"/>
          <w:sz w:val="24"/>
          <w:szCs w:val="24"/>
          <w:lang w:val="uk-UA"/>
        </w:rPr>
      </w:pPr>
      <w:r>
        <w:rPr>
          <w:rFonts w:ascii="Times New Roman" w:hAnsi="Times New Roman"/>
          <w:sz w:val="24"/>
          <w:szCs w:val="24"/>
          <w:lang w:val="uk-UA"/>
        </w:rPr>
        <w:t>* Цей Перелік послуг (функцій) застосовується у разі залучення Інженера-консультанта до реалізації будівельних проектів (крім проектів з нового будівництва, реконструкції та капітального ремонту автомобільних доріг загального користування).</w:t>
      </w:r>
    </w:p>
    <w:p>
      <w:pPr>
        <w:pStyle w:val="P1"/>
        <w:spacing w:lineRule="auto" w:line="276" w:beforeAutospacing="0" w:afterAutospacing="0"/>
        <w:jc w:val="both"/>
        <w:rPr>
          <w:rFonts w:ascii="Times New Roman" w:hAnsi="Times New Roman"/>
          <w:b w:val="1"/>
          <w:sz w:val="24"/>
          <w:szCs w:val="24"/>
          <w:lang w:val="uk-UA"/>
        </w:rPr>
      </w:pPr>
      <w:r>
        <w:rPr>
          <w:rFonts w:ascii="Times New Roman" w:hAnsi="Times New Roman"/>
          <w:sz w:val="24"/>
          <w:szCs w:val="24"/>
          <w:lang w:val="uk-UA"/>
        </w:rPr>
        <w:t>Перелік послуг (функцій) Інженера-консультанта визначається залежно від етапу, на якому він залучений, особливостей Об’єкта, обсягів фінансування та вимог Замовника, відповідно до Закону України «Про регулювання містобудівної діяльності» з урахуванням додатку 42 до Кошторисних норм України «Настанова з визначення вартості будівництва», затверджених наказом Мінрегіону від 01.11.2021 № 281.</w:t>
      </w:r>
      <w:r>
        <w:rPr>
          <w:rFonts w:ascii="Times New Roman" w:hAnsi="Times New Roman"/>
          <w:b w:val="1"/>
          <w:sz w:val="24"/>
          <w:szCs w:val="24"/>
          <w:lang w:val="uk-UA"/>
        </w:rPr>
        <w:t xml:space="preserve"> </w:t>
      </w:r>
    </w:p>
    <w:p>
      <w:pPr>
        <w:pStyle w:val="P1"/>
        <w:spacing w:lineRule="auto" w:line="276" w:beforeAutospacing="0" w:afterAutospacing="0"/>
        <w:jc w:val="both"/>
        <w:rPr>
          <w:rFonts w:ascii="Times New Roman" w:hAnsi="Times New Roman"/>
          <w:b w:val="1"/>
          <w:sz w:val="24"/>
          <w:szCs w:val="24"/>
          <w:lang w:val="uk-UA"/>
        </w:rPr>
      </w:pPr>
    </w:p>
    <w:p>
      <w:pPr>
        <w:pStyle w:val="P1"/>
        <w:spacing w:lineRule="auto" w:line="276" w:beforeAutospacing="0" w:afterAutospacing="0"/>
        <w:jc w:val="both"/>
        <w:rPr>
          <w:rFonts w:ascii="Times New Roman" w:hAnsi="Times New Roman"/>
          <w:sz w:val="24"/>
          <w:szCs w:val="24"/>
          <w:lang w:val="uk-UA"/>
        </w:rPr>
      </w:pPr>
      <w:r>
        <w:rPr>
          <w:rFonts w:ascii="Times New Roman" w:hAnsi="Times New Roman"/>
          <w:sz w:val="24"/>
          <w:szCs w:val="24"/>
          <w:lang w:val="uk-UA"/>
        </w:rPr>
        <w:t xml:space="preserve">** Послуги Інженера-консультанта, передбачені пунктом 3 цього Переліку (стадія закупівель робіт та послуг), надаються Замовнику на тому етапі реалізації проекту, на якому здійснюються підготовка і проведення відповідних закупівель (на етапі передпроектних робіт, проектування чи будівництва). </w:t>
      </w:r>
    </w:p>
    <w:p>
      <w:pPr>
        <w:pStyle w:val="P1"/>
        <w:spacing w:lineRule="auto" w:line="276" w:beforeAutospacing="0" w:afterAutospacing="0"/>
        <w:jc w:val="both"/>
        <w:rPr>
          <w:rFonts w:ascii="Times New Roman" w:hAnsi="Times New Roman"/>
          <w:sz w:val="24"/>
          <w:szCs w:val="24"/>
          <w:lang w:val="uk-UA"/>
        </w:rPr>
      </w:pPr>
    </w:p>
    <w:p>
      <w:pPr>
        <w:pStyle w:val="P1"/>
        <w:spacing w:lineRule="auto" w:line="276" w:beforeAutospacing="0" w:afterAutospacing="0"/>
        <w:jc w:val="both"/>
        <w:rPr>
          <w:rFonts w:ascii="Times New Roman" w:hAnsi="Times New Roman"/>
          <w:sz w:val="24"/>
          <w:szCs w:val="24"/>
          <w:lang w:val="uk-UA"/>
        </w:rPr>
      </w:pPr>
    </w:p>
    <w:p>
      <w:pPr>
        <w:pStyle w:val="P1"/>
        <w:spacing w:lineRule="auto" w:line="276" w:beforeAutospacing="0" w:afterAutospacing="0"/>
        <w:jc w:val="both"/>
        <w:rPr>
          <w:rFonts w:ascii="Times New Roman" w:hAnsi="Times New Roman"/>
          <w:sz w:val="24"/>
          <w:szCs w:val="24"/>
          <w:lang w:val="uk-UA"/>
        </w:rPr>
      </w:pPr>
    </w:p>
    <w:p>
      <w:pPr>
        <w:ind w:firstLine="0"/>
        <w:jc w:val="left"/>
        <w:rPr>
          <w:rFonts w:ascii="Times New Roman" w:hAnsi="Times New Roman"/>
          <w:sz w:val="28"/>
          <w:szCs w:val="24"/>
          <w:lang w:val="uk-UA" w:eastAsia="ru-RU"/>
        </w:rPr>
      </w:pPr>
      <w:r>
        <w:rPr>
          <w:rFonts w:ascii="Times New Roman" w:hAnsi="Times New Roman"/>
          <w:sz w:val="28"/>
          <w:szCs w:val="24"/>
          <w:lang w:val="uk-UA" w:eastAsia="ru-RU"/>
        </w:rPr>
        <w:br w:type="page"/>
      </w:r>
    </w:p>
    <w:p>
      <w:pPr>
        <w:tabs>
          <w:tab w:val="left" w:pos="0" w:leader="none"/>
        </w:tabs>
        <w:ind w:firstLine="0"/>
        <w:jc w:val="right"/>
        <w:rPr>
          <w:rFonts w:ascii="Times New Roman" w:hAnsi="Times New Roman"/>
          <w:sz w:val="28"/>
          <w:szCs w:val="24"/>
          <w:lang w:val="uk-UA" w:eastAsia="ru-RU"/>
        </w:rPr>
      </w:pPr>
      <w:r>
        <w:rPr>
          <w:rFonts w:ascii="Times New Roman" w:hAnsi="Times New Roman"/>
          <w:sz w:val="28"/>
          <w:szCs w:val="24"/>
          <w:lang w:val="uk-UA" w:eastAsia="ru-RU"/>
        </w:rPr>
        <w:t>Продовження додатка 1</w:t>
      </w:r>
    </w:p>
    <w:p>
      <w:pPr>
        <w:pStyle w:val="P1"/>
        <w:spacing w:lineRule="auto" w:line="276" w:beforeAutospacing="0" w:afterAutospacing="0"/>
        <w:rPr>
          <w:rFonts w:ascii="Times New Roman" w:hAnsi="Times New Roman"/>
          <w:b w:val="1"/>
          <w:sz w:val="28"/>
          <w:szCs w:val="28"/>
          <w:lang w:val="uk-UA"/>
        </w:rPr>
      </w:pPr>
    </w:p>
    <w:p>
      <w:pPr>
        <w:pStyle w:val="P1"/>
        <w:spacing w:lineRule="auto" w:line="276" w:beforeAutospacing="0" w:afterAutospacing="0"/>
        <w:jc w:val="center"/>
        <w:rPr>
          <w:rFonts w:ascii="Times New Roman" w:hAnsi="Times New Roman"/>
          <w:b w:val="1"/>
          <w:sz w:val="28"/>
          <w:szCs w:val="28"/>
          <w:lang w:val="uk-UA"/>
        </w:rPr>
      </w:pPr>
      <w:r>
        <w:rPr>
          <w:rFonts w:ascii="Times New Roman" w:hAnsi="Times New Roman"/>
          <w:b w:val="1"/>
          <w:sz w:val="28"/>
          <w:szCs w:val="28"/>
          <w:lang w:val="uk-UA"/>
        </w:rPr>
        <w:t>Перелік послуг (функцій) Інженера-консультанта</w:t>
      </w:r>
    </w:p>
    <w:p>
      <w:pPr>
        <w:pStyle w:val="P1"/>
        <w:spacing w:lineRule="auto" w:line="276" w:beforeAutospacing="0" w:afterAutospacing="0"/>
        <w:jc w:val="center"/>
        <w:rPr>
          <w:rFonts w:ascii="Times New Roman" w:hAnsi="Times New Roman"/>
          <w:b w:val="1"/>
          <w:sz w:val="28"/>
          <w:szCs w:val="28"/>
          <w:lang w:val="uk-UA"/>
        </w:rPr>
      </w:pPr>
      <w:r>
        <w:rPr>
          <w:rFonts w:ascii="Times New Roman" w:hAnsi="Times New Roman"/>
          <w:b w:val="1"/>
          <w:sz w:val="28"/>
          <w:szCs w:val="28"/>
          <w:lang w:val="uk-UA"/>
        </w:rPr>
        <w:t>(для проектів з нового будівництва, реконструкції та капітального ремонту автомобільних доріг загального користування)***</w:t>
      </w:r>
    </w:p>
    <w:p>
      <w:pPr>
        <w:pStyle w:val="P1"/>
        <w:jc w:val="center"/>
        <w:rPr>
          <w:rFonts w:ascii="Times New Roman" w:hAnsi="Times New Roman"/>
          <w:b w:val="1"/>
          <w:sz w:val="28"/>
          <w:szCs w:val="28"/>
          <w:lang w:val="uk-UA"/>
        </w:rPr>
      </w:pPr>
    </w:p>
    <w:p>
      <w:pPr>
        <w:spacing w:lineRule="auto" w:line="276" w:after="60" w:beforeAutospacing="0" w:afterAutospacing="0"/>
        <w:ind w:firstLine="425"/>
        <w:rPr>
          <w:rFonts w:ascii="Times New Roman" w:hAnsi="Times New Roman"/>
          <w:sz w:val="28"/>
          <w:szCs w:val="28"/>
          <w:lang w:val="uk-UA"/>
        </w:rPr>
      </w:pPr>
      <w:r>
        <w:rPr>
          <w:rFonts w:ascii="Times New Roman" w:hAnsi="Times New Roman"/>
          <w:sz w:val="28"/>
          <w:szCs w:val="28"/>
          <w:lang w:val="uk-UA"/>
        </w:rPr>
        <w:t>За Договором № _____ від «___» _________20__ р. Інженер-консультант надає Замовнику такі Послуги (виконує такі функції):</w:t>
      </w:r>
    </w:p>
    <w:tbl>
      <w:tblPr>
        <w:tblW w:w="9923" w:type="dxa"/>
        <w:tblLook w:val="00A0"/>
      </w:tblPr>
      <w:tblGrid/>
      <w:tr>
        <w:tc>
          <w:tcPr>
            <w:tcW w:w="851" w:type="dxa"/>
            <w:vAlign w:val="center"/>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1.</w:t>
            </w:r>
          </w:p>
        </w:tc>
        <w:tc>
          <w:tcPr>
            <w:tcW w:w="9072" w:type="dxa"/>
            <w:vAlign w:val="center"/>
          </w:tcPr>
          <w:p>
            <w:pPr>
              <w:pStyle w:val="P1"/>
              <w:spacing w:lineRule="auto" w:line="276" w:beforeAutospacing="0" w:afterAutospacing="0"/>
              <w:rPr>
                <w:rFonts w:ascii="Times New Roman" w:hAnsi="Times New Roman"/>
                <w:sz w:val="28"/>
                <w:szCs w:val="28"/>
                <w:lang w:val="uk-UA"/>
              </w:rPr>
            </w:pPr>
            <w:r>
              <w:rPr>
                <w:rFonts w:ascii="Times New Roman" w:hAnsi="Times New Roman"/>
                <w:b w:val="1"/>
                <w:sz w:val="28"/>
                <w:szCs w:val="28"/>
                <w:lang w:val="uk-UA" w:eastAsia="ru-RU"/>
              </w:rPr>
              <w:t>на етапі передпроектних робіт</w:t>
            </w:r>
            <w:r>
              <w:rPr>
                <w:rFonts w:ascii="Times New Roman" w:hAnsi="Times New Roman"/>
                <w:sz w:val="28"/>
                <w:szCs w:val="28"/>
                <w:lang w:val="uk-UA" w:eastAsia="ru-RU"/>
              </w:rPr>
              <w:t>:</w:t>
            </w:r>
          </w:p>
        </w:tc>
      </w:tr>
      <w:tr>
        <w:tc>
          <w:tcPr>
            <w:tcW w:w="851" w:type="dxa"/>
            <w:vAlign w:val="center"/>
          </w:tcPr>
          <w:p>
            <w:pPr>
              <w:pStyle w:val="P1"/>
              <w:spacing w:lineRule="auto" w:line="276" w:after="600" w:beforeAutospacing="0" w:afterAutospacing="0"/>
              <w:jc w:val="both"/>
              <w:rPr>
                <w:rFonts w:ascii="Times New Roman" w:hAnsi="Times New Roman"/>
                <w:sz w:val="28"/>
                <w:szCs w:val="28"/>
                <w:lang w:val="uk-UA"/>
              </w:rPr>
            </w:pPr>
            <w:r>
              <w:rPr>
                <w:rFonts w:ascii="Times New Roman" w:hAnsi="Times New Roman"/>
                <w:sz w:val="28"/>
                <w:szCs w:val="28"/>
                <w:lang w:val="uk-UA"/>
              </w:rPr>
              <w:t>1.1.</w:t>
            </w:r>
          </w:p>
        </w:tc>
        <w:tc>
          <w:tcPr>
            <w:tcW w:w="9072" w:type="dxa"/>
            <w:vAlign w:val="center"/>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консультування Замовника з питань формування інвестиційних намірів, розроблення організаційно-фінансових схем реалізації проєкту, управління ризиками;</w:t>
            </w:r>
          </w:p>
        </w:tc>
      </w:tr>
      <w:tr>
        <w:tc>
          <w:tcPr>
            <w:tcW w:w="851" w:type="dxa"/>
            <w:vAlign w:val="center"/>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2.</w:t>
            </w:r>
          </w:p>
        </w:tc>
        <w:tc>
          <w:tcPr>
            <w:tcW w:w="9072" w:type="dxa"/>
            <w:vAlign w:val="center"/>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b w:val="1"/>
                <w:sz w:val="28"/>
                <w:szCs w:val="28"/>
                <w:lang w:val="uk-UA" w:eastAsia="ru-RU"/>
              </w:rPr>
              <w:t>на етапі проектування</w:t>
            </w:r>
            <w:r>
              <w:rPr>
                <w:rFonts w:ascii="Times New Roman" w:hAnsi="Times New Roman"/>
                <w:sz w:val="28"/>
                <w:szCs w:val="28"/>
                <w:lang w:val="uk-UA" w:eastAsia="ru-RU"/>
              </w:rPr>
              <w:t>:</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2.1.</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аналіз вихідних даних, проєктної документації та надання Замовнику пропозиції щодо кількості стадій проєктування, черг будівництва, удосконалення проектних рішень;</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2.2.</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аналіз проблем, спорів і претензій, що виникають під час виконання проектних робіт, розроблення пропозицій щодо їх усунення, вжиття заходів для досудового врегулювання спорів;</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2.3.</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консультування Замовника з питань залучення проектних організацій, участь у підготовці і проведенні закупівель, розробленні договорів;</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2.4.</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консультування Замовника з питань управління ризиками, участь у передпроектних роботах, отриманні вихідних даних;</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3.</w:t>
            </w:r>
          </w:p>
        </w:tc>
        <w:tc>
          <w:tcPr>
            <w:tcW w:w="9072" w:type="dxa"/>
          </w:tcPr>
          <w:p>
            <w:pPr>
              <w:pStyle w:val="P1"/>
              <w:spacing w:lineRule="auto" w:line="276" w:beforeAutospacing="0" w:afterAutospacing="0"/>
              <w:jc w:val="both"/>
              <w:rPr>
                <w:rFonts w:ascii="Times New Roman" w:hAnsi="Times New Roman"/>
                <w:b w:val="1"/>
                <w:sz w:val="28"/>
                <w:szCs w:val="28"/>
                <w:lang w:val="uk-UA" w:eastAsia="ru-RU"/>
              </w:rPr>
            </w:pPr>
            <w:r>
              <w:rPr>
                <w:rFonts w:ascii="Times New Roman" w:hAnsi="Times New Roman"/>
                <w:b w:val="1"/>
                <w:sz w:val="28"/>
                <w:szCs w:val="28"/>
                <w:lang w:val="uk-UA" w:eastAsia="ru-RU"/>
              </w:rPr>
              <w:t>на стадії закупівель робіт та послуг</w:t>
            </w:r>
            <w:r>
              <w:rPr>
                <w:rFonts w:ascii="Times New Roman" w:hAnsi="Times New Roman"/>
                <w:sz w:val="28"/>
                <w:szCs w:val="28"/>
                <w:lang w:val="uk-UA" w:eastAsia="ru-RU"/>
              </w:rPr>
              <w:t>**:</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3.1.</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консультування Замовника з питань залучення проектних і підрядних організацій, вибору постачальників, участь у підготовці і проведенні закупівель, розробленні договорів</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w:t>
            </w:r>
          </w:p>
        </w:tc>
        <w:tc>
          <w:tcPr>
            <w:tcW w:w="9072" w:type="dxa"/>
          </w:tcPr>
          <w:p>
            <w:pPr>
              <w:pStyle w:val="P1"/>
              <w:spacing w:lineRule="auto" w:line="276" w:beforeAutospacing="0" w:afterAutospacing="0"/>
              <w:jc w:val="both"/>
              <w:rPr>
                <w:rFonts w:ascii="Times New Roman" w:hAnsi="Times New Roman"/>
                <w:b w:val="1"/>
                <w:sz w:val="28"/>
                <w:szCs w:val="28"/>
                <w:lang w:val="uk-UA" w:eastAsia="ru-RU"/>
              </w:rPr>
            </w:pPr>
            <w:r>
              <w:rPr>
                <w:rFonts w:ascii="Times New Roman" w:hAnsi="Times New Roman"/>
                <w:b w:val="1"/>
                <w:sz w:val="28"/>
                <w:szCs w:val="28"/>
                <w:lang w:val="uk-UA" w:eastAsia="ru-RU"/>
              </w:rPr>
              <w:t>на етапі будівництва (нове будівництво, реконструкція та капітальний ремонт):</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4.1.</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аналіз вихідних даних, проектної документації та надання Замовнику пропозицій щодо удосконалення проектних рішень;</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4.2.</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здійснення контролю за дотриманням Підрядником затвердженого Замовником графіка виконання дорожніх робіт;</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4.3.</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проведення нагляду за здійсненням Підрядником вхідного та операційного контролю, зокрема перевірка наявності документів, що засвідчують якість дорожньо-будівельних матеріалів, виробів та конструкцій, які надходять до місця виконання дорожніх робіт (технічних паспортів, сертифікатів відповідності, результатів лабораторних випробувань);</w:t>
            </w:r>
          </w:p>
        </w:tc>
      </w:tr>
      <w:tr>
        <w:tc>
          <w:tcPr>
            <w:tcW w:w="851" w:type="dxa"/>
          </w:tcPr>
          <w:p>
            <w:pPr>
              <w:pStyle w:val="P1"/>
              <w:spacing w:lineRule="auto" w:line="276" w:beforeAutospacing="0" w:afterAutospacing="0"/>
              <w:jc w:val="both"/>
              <w:rPr>
                <w:rFonts w:ascii="Times New Roman" w:hAnsi="Times New Roman"/>
                <w:sz w:val="28"/>
                <w:szCs w:val="28"/>
                <w:lang w:val="uk-UA"/>
              </w:rPr>
            </w:pPr>
          </w:p>
        </w:tc>
        <w:tc>
          <w:tcPr>
            <w:tcW w:w="9072" w:type="dxa"/>
          </w:tcPr>
          <w:p>
            <w:pPr>
              <w:tabs>
                <w:tab w:val="left" w:pos="0" w:leader="none"/>
              </w:tabs>
              <w:ind w:firstLine="0"/>
              <w:jc w:val="right"/>
              <w:rPr>
                <w:rFonts w:ascii="Times New Roman" w:hAnsi="Times New Roman"/>
                <w:sz w:val="28"/>
                <w:szCs w:val="24"/>
                <w:lang w:val="uk-UA" w:eastAsia="ru-RU"/>
              </w:rPr>
            </w:pPr>
            <w:r>
              <w:rPr>
                <w:rFonts w:ascii="Times New Roman" w:hAnsi="Times New Roman"/>
                <w:sz w:val="28"/>
                <w:szCs w:val="24"/>
                <w:lang w:val="uk-UA" w:eastAsia="ru-RU"/>
              </w:rPr>
              <w:t>Продовження додатка 1</w:t>
            </w:r>
          </w:p>
          <w:p>
            <w:pPr>
              <w:pStyle w:val="P1"/>
              <w:spacing w:lineRule="auto" w:line="276" w:beforeAutospacing="0" w:afterAutospacing="0"/>
              <w:rPr>
                <w:rFonts w:ascii="Times New Roman" w:hAnsi="Times New Roman"/>
                <w:sz w:val="28"/>
                <w:szCs w:val="28"/>
                <w:lang w:val="uk-UA" w:eastAsia="ru-RU"/>
              </w:rPr>
            </w:pP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4.4.</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здійснення відповідно до умов Договору контролю за якістю та обсягами виконаних дорожніх робіт, зокрема з використанням візуального та інструментальних методів контролю;</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4.5.</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інформування Замовника про наявність проблемних питань, які виникли або можуть виникнути в ході виконання дорожніх робіт;</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4.6.</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надання Підряднику рекомендацій щодо усунення порушень під час виконання дорожніх робіт та контроль ходу виконання таких рекомендацій;</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4.7.</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здійснення контролю за усуненням Підрядником дефектів, що впливають на безпеку дорожнього руху або збереження автомобільних доріг загального користування;</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4.8.</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розгляд наданих Підрядником пропозиції щодо продовження строків виконання дорожніх робіт, необхідності виконання додаткових робіт;</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4.9.</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аналіз проблем, спорів і претензій, що виникають під час виконання дорожніх робіт, розроблення пропозицій щодо їх усунення, вжиття заходів для досудового врегулювання спорів;</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4.10.</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інформування Замовника про припинення або зупинення надання Послуг у строки та у порядку, що встановлені Договором;</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4.11.</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представлення відповідно до умов Договору інтересів Замовника в органах державної влади, органах місцевого самоврядування, на підприємствах, в установах та організаціях, зокрема під час отримання адміністративних послуг, здійснення дозвільних (погоджувальних)</w:t>
            </w:r>
          </w:p>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процедур, та проведення перевірок;</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4.12.</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проведення перевірки дорожніх робіт у ході їх виконання;</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4.13.</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вимога від Підрядника:</w:t>
            </w:r>
          </w:p>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а) виконання робіт відповідно до затвердженої проектної документації, дотримання вимог будівельних норм;</w:t>
            </w:r>
          </w:p>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б) подання виконавчої документації на дорожні роботи;</w:t>
            </w:r>
          </w:p>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в) вжиття заходів до усунення виявлених порушень, які виникли під час виконання дорожніх робіт, які не відповідають проектній документації, єдиним вимогам будівельних норм, а також виконання дорожніх робіт, які фактично не були виконані Підрядником;</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4.14.</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пред’явлення посадовим особам Підрядника письмових вимог про усунення порушень і причин їх виникнення;</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4.15.</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надання вимог Підряднику про усунення виявлених порушень у встановлені строки;</w:t>
            </w:r>
          </w:p>
          <w:p>
            <w:pPr>
              <w:pStyle w:val="P1"/>
              <w:spacing w:lineRule="auto" w:line="276" w:beforeAutospacing="0" w:afterAutospacing="0"/>
              <w:jc w:val="both"/>
              <w:rPr>
                <w:rFonts w:ascii="Times New Roman" w:hAnsi="Times New Roman"/>
                <w:sz w:val="28"/>
                <w:szCs w:val="28"/>
                <w:lang w:val="uk-UA" w:eastAsia="ru-RU"/>
              </w:rPr>
            </w:pPr>
          </w:p>
        </w:tc>
      </w:tr>
      <w:tr>
        <w:tc>
          <w:tcPr>
            <w:tcW w:w="851" w:type="dxa"/>
          </w:tcPr>
          <w:p>
            <w:pPr>
              <w:pStyle w:val="P1"/>
              <w:spacing w:lineRule="auto" w:line="276" w:beforeAutospacing="0" w:afterAutospacing="0"/>
              <w:jc w:val="both"/>
              <w:rPr>
                <w:rFonts w:ascii="Times New Roman" w:hAnsi="Times New Roman"/>
                <w:sz w:val="28"/>
                <w:szCs w:val="28"/>
                <w:lang w:val="uk-UA"/>
              </w:rPr>
            </w:pPr>
          </w:p>
        </w:tc>
        <w:tc>
          <w:tcPr>
            <w:tcW w:w="9072" w:type="dxa"/>
          </w:tcPr>
          <w:p>
            <w:pPr>
              <w:tabs>
                <w:tab w:val="left" w:pos="0" w:leader="none"/>
              </w:tabs>
              <w:ind w:firstLine="0"/>
              <w:jc w:val="right"/>
              <w:rPr>
                <w:rFonts w:ascii="Times New Roman" w:hAnsi="Times New Roman"/>
                <w:sz w:val="28"/>
                <w:szCs w:val="24"/>
                <w:lang w:val="uk-UA" w:eastAsia="ru-RU"/>
              </w:rPr>
            </w:pPr>
            <w:r>
              <w:rPr>
                <w:rFonts w:ascii="Times New Roman" w:hAnsi="Times New Roman"/>
                <w:sz w:val="28"/>
                <w:szCs w:val="24"/>
                <w:lang w:val="uk-UA" w:eastAsia="ru-RU"/>
              </w:rPr>
              <w:t>Продовження додатка 1</w:t>
            </w:r>
          </w:p>
          <w:p>
            <w:pPr>
              <w:pStyle w:val="P1"/>
              <w:spacing w:lineRule="auto" w:line="276" w:beforeAutospacing="0" w:afterAutospacing="0"/>
              <w:jc w:val="both"/>
              <w:rPr>
                <w:rFonts w:ascii="Times New Roman" w:hAnsi="Times New Roman"/>
                <w:sz w:val="28"/>
                <w:szCs w:val="28"/>
                <w:lang w:val="uk-UA" w:eastAsia="ru-RU"/>
              </w:rPr>
            </w:pP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4.16.</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внесення Замовнику пропозиції щодо розірвання договору про виконання дорожніх робіт з підрядниками, які систематично порушують правила їх виконання;</w:t>
            </w:r>
          </w:p>
        </w:tc>
      </w:tr>
      <w:tr>
        <w:tc>
          <w:tcPr>
            <w:tcW w:w="851" w:type="dxa"/>
          </w:tcPr>
          <w:p>
            <w:pPr>
              <w:pStyle w:val="P1"/>
              <w:spacing w:lineRule="auto" w:line="276" w:beforeAutospacing="0" w:afterAutospacing="0"/>
              <w:jc w:val="both"/>
              <w:rPr>
                <w:rFonts w:ascii="Times New Roman" w:hAnsi="Times New Roman"/>
                <w:sz w:val="28"/>
                <w:szCs w:val="28"/>
                <w:lang w:val="uk-UA"/>
              </w:rPr>
            </w:pPr>
            <w:r>
              <w:rPr>
                <w:rFonts w:ascii="Times New Roman" w:hAnsi="Times New Roman"/>
                <w:sz w:val="28"/>
                <w:szCs w:val="28"/>
                <w:lang w:val="uk-UA"/>
              </w:rPr>
              <w:t>4.17.</w:t>
            </w:r>
          </w:p>
        </w:tc>
        <w:tc>
          <w:tcPr>
            <w:tcW w:w="9072" w:type="dxa"/>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прийняття від імені Замовника відповідних рішень та виконання інших функцій, визначених Договором.</w:t>
            </w:r>
          </w:p>
        </w:tc>
      </w:tr>
    </w:tbl>
    <w:p>
      <w:pPr>
        <w:pStyle w:val="P1"/>
        <w:spacing w:lineRule="auto" w:line="276" w:beforeAutospacing="0" w:afterAutospacing="0"/>
        <w:jc w:val="both"/>
        <w:rPr>
          <w:rFonts w:ascii="Times New Roman" w:hAnsi="Times New Roman"/>
          <w:sz w:val="20"/>
          <w:szCs w:val="20"/>
          <w:lang w:val="uk-UA"/>
        </w:rPr>
      </w:pPr>
    </w:p>
    <w:p>
      <w:pPr>
        <w:pStyle w:val="P1"/>
        <w:spacing w:lineRule="auto" w:line="276" w:beforeAutospacing="0" w:afterAutospacing="0"/>
        <w:jc w:val="both"/>
        <w:rPr>
          <w:rFonts w:ascii="Times New Roman" w:hAnsi="Times New Roman"/>
          <w:sz w:val="20"/>
          <w:szCs w:val="20"/>
          <w:lang w:val="uk-UA"/>
        </w:rPr>
      </w:pPr>
    </w:p>
    <w:tbl>
      <w:tblPr>
        <w:tblW w:w="5001" w:type="pct"/>
        <w:tblLayout w:type="fixed"/>
        <w:tblLook w:val="0000"/>
      </w:tblPr>
      <w:tblGrid/>
      <w:tr>
        <w:trPr>
          <w:trHeight w:hRule="atLeast" w:val="572"/>
        </w:trPr>
        <w:tc>
          <w:tcPr>
            <w:tcW w:w="2611" w:type="pct"/>
          </w:tcPr>
          <w:p>
            <w:pPr>
              <w:spacing w:lineRule="auto" w:line="276" w:beforeAutospacing="0" w:afterAutospacing="0"/>
              <w:ind w:firstLine="0" w:left="-465"/>
              <w:jc w:val="center"/>
              <w:rPr>
                <w:rFonts w:ascii="Times New Roman" w:hAnsi="Times New Roman"/>
                <w:b w:val="1"/>
                <w:color w:val="000000"/>
                <w:sz w:val="28"/>
                <w:szCs w:val="28"/>
                <w:lang w:val="uk-UA"/>
              </w:rPr>
            </w:pPr>
            <w:r>
              <w:rPr>
                <w:rFonts w:ascii="Times New Roman" w:hAnsi="Times New Roman"/>
                <w:b w:val="1"/>
                <w:color w:val="000000"/>
                <w:sz w:val="28"/>
                <w:szCs w:val="28"/>
                <w:lang w:val="uk-UA"/>
              </w:rPr>
              <w:t>Замовник</w:t>
            </w:r>
          </w:p>
          <w:p>
            <w:pPr>
              <w:spacing w:lineRule="auto" w:line="276" w:beforeAutospacing="0" w:afterAutospacing="0"/>
              <w:ind w:firstLine="0" w:left="-465"/>
              <w:jc w:val="center"/>
              <w:rPr>
                <w:rFonts w:ascii="Times New Roman" w:hAnsi="Times New Roman"/>
                <w:color w:val="000000"/>
                <w:sz w:val="28"/>
                <w:szCs w:val="28"/>
                <w:lang w:val="uk-UA"/>
              </w:rPr>
            </w:pPr>
            <w:r>
              <w:rPr>
                <w:rFonts w:ascii="Times New Roman" w:hAnsi="Times New Roman"/>
                <w:color w:val="000000"/>
                <w:sz w:val="28"/>
                <w:szCs w:val="28"/>
                <w:lang w:val="uk-UA"/>
              </w:rPr>
              <w:t>____________________________</w:t>
            </w:r>
          </w:p>
          <w:p>
            <w:pPr>
              <w:spacing w:lineRule="auto" w:line="276" w:beforeAutospacing="0" w:afterAutospacing="0"/>
              <w:ind w:firstLine="0" w:left="-465"/>
              <w:jc w:val="center"/>
              <w:rPr>
                <w:rFonts w:ascii="Times New Roman" w:hAnsi="Times New Roman"/>
                <w:color w:val="000000"/>
                <w:sz w:val="20"/>
                <w:szCs w:val="20"/>
                <w:lang w:val="uk-UA"/>
              </w:rPr>
            </w:pPr>
            <w:r>
              <w:rPr>
                <w:rFonts w:ascii="Times New Roman" w:hAnsi="Times New Roman"/>
                <w:color w:val="000000"/>
                <w:sz w:val="20"/>
                <w:szCs w:val="20"/>
                <w:lang w:val="uk-UA"/>
              </w:rPr>
              <w:t>(посада, прізвище, ініціали, підпис)</w:t>
            </w:r>
          </w:p>
        </w:tc>
        <w:tc>
          <w:tcPr>
            <w:tcW w:w="2389" w:type="pct"/>
          </w:tcPr>
          <w:p>
            <w:pPr>
              <w:spacing w:lineRule="auto" w:line="276" w:beforeAutospacing="0" w:afterAutospacing="0"/>
              <w:ind w:firstLine="0" w:left="-465"/>
              <w:jc w:val="center"/>
              <w:rPr>
                <w:rFonts w:ascii="Times New Roman" w:hAnsi="Times New Roman"/>
                <w:b w:val="1"/>
                <w:color w:val="000000"/>
                <w:sz w:val="28"/>
                <w:szCs w:val="28"/>
                <w:lang w:val="uk-UA"/>
              </w:rPr>
            </w:pPr>
            <w:r>
              <w:rPr>
                <w:rFonts w:ascii="Times New Roman" w:hAnsi="Times New Roman"/>
                <w:b w:val="1"/>
                <w:color w:val="000000"/>
                <w:sz w:val="28"/>
                <w:szCs w:val="28"/>
                <w:lang w:val="uk-UA"/>
              </w:rPr>
              <w:t>Інженер-консультант</w:t>
            </w:r>
          </w:p>
          <w:p>
            <w:pPr>
              <w:spacing w:lineRule="auto" w:line="276" w:beforeAutospacing="0" w:afterAutospacing="0"/>
              <w:ind w:firstLine="0" w:left="-465"/>
              <w:jc w:val="center"/>
              <w:rPr>
                <w:rFonts w:ascii="Times New Roman" w:hAnsi="Times New Roman"/>
                <w:color w:val="000000"/>
                <w:sz w:val="28"/>
                <w:szCs w:val="28"/>
                <w:lang w:val="uk-UA"/>
              </w:rPr>
            </w:pPr>
            <w:r>
              <w:rPr>
                <w:rFonts w:ascii="Times New Roman" w:hAnsi="Times New Roman"/>
                <w:color w:val="000000"/>
                <w:sz w:val="28"/>
                <w:szCs w:val="28"/>
                <w:lang w:val="uk-UA"/>
              </w:rPr>
              <w:t>___________________________</w:t>
            </w:r>
          </w:p>
          <w:p>
            <w:pPr>
              <w:spacing w:lineRule="auto" w:line="276" w:beforeAutospacing="0" w:afterAutospacing="0"/>
              <w:ind w:firstLine="0" w:left="-465"/>
              <w:jc w:val="center"/>
              <w:rPr>
                <w:rFonts w:ascii="Times New Roman" w:hAnsi="Times New Roman"/>
                <w:color w:val="000000"/>
                <w:sz w:val="28"/>
                <w:szCs w:val="28"/>
                <w:lang w:val="uk-UA"/>
              </w:rPr>
            </w:pPr>
            <w:r>
              <w:rPr>
                <w:rFonts w:ascii="Times New Roman" w:hAnsi="Times New Roman"/>
                <w:color w:val="000000"/>
                <w:sz w:val="20"/>
                <w:szCs w:val="20"/>
                <w:lang w:val="uk-UA"/>
              </w:rPr>
              <w:t>(посада, прізвище, ініціали, підпис)</w:t>
            </w:r>
          </w:p>
        </w:tc>
      </w:tr>
      <w:tr>
        <w:tblPrEx>
          <w:tblLook w:val="00A0"/>
        </w:tblPrEx>
        <w:tc>
          <w:tcPr>
            <w:tcW w:w="2611" w:type="pct"/>
          </w:tcPr>
          <w:p>
            <w:pPr>
              <w:spacing w:lineRule="atLeast" w:line="240" w:beforeAutospacing="0" w:afterAutospacing="0"/>
              <w:ind w:firstLine="0" w:left="142" w:right="136"/>
              <w:jc w:val="left"/>
              <w:rPr>
                <w:rFonts w:ascii="Times New Roman" w:hAnsi="Times New Roman"/>
                <w:color w:val="000000"/>
                <w:sz w:val="28"/>
                <w:szCs w:val="28"/>
                <w:lang w:val="uk-UA"/>
              </w:rPr>
            </w:pPr>
            <w:r>
              <w:rPr>
                <w:rFonts w:ascii="Times New Roman" w:hAnsi="Times New Roman"/>
                <w:color w:val="000000"/>
                <w:sz w:val="28"/>
                <w:szCs w:val="28"/>
                <w:lang w:val="uk-UA"/>
              </w:rPr>
              <w:t>М.П.</w:t>
            </w:r>
          </w:p>
          <w:p>
            <w:pPr>
              <w:pStyle w:val="P1"/>
              <w:spacing w:lineRule="atLeast" w:line="240" w:beforeAutospacing="0" w:afterAutospacing="0"/>
              <w:jc w:val="both"/>
              <w:rPr>
                <w:rFonts w:ascii="Times New Roman" w:hAnsi="Times New Roman"/>
                <w:color w:val="000000"/>
                <w:sz w:val="16"/>
                <w:szCs w:val="16"/>
                <w:lang w:val="uk-UA"/>
              </w:rPr>
            </w:pPr>
            <w:r>
              <w:rPr>
                <w:rFonts w:ascii="Times New Roman" w:hAnsi="Times New Roman"/>
                <w:color w:val="000000"/>
                <w:sz w:val="16"/>
                <w:szCs w:val="16"/>
                <w:lang w:val="uk-UA"/>
              </w:rPr>
              <w:t>(за наявності)</w:t>
            </w:r>
          </w:p>
          <w:p>
            <w:pPr>
              <w:pStyle w:val="P1"/>
              <w:spacing w:lineRule="auto" w:line="276" w:beforeAutospacing="0" w:afterAutospacing="0"/>
              <w:jc w:val="both"/>
              <w:rPr>
                <w:rFonts w:ascii="Times New Roman" w:hAnsi="Times New Roman"/>
                <w:sz w:val="28"/>
                <w:szCs w:val="28"/>
                <w:lang w:val="uk-UA"/>
              </w:rPr>
            </w:pPr>
            <w:r>
              <w:rPr>
                <w:rFonts w:ascii="Times New Roman" w:hAnsi="Times New Roman"/>
                <w:color w:val="000000"/>
                <w:sz w:val="28"/>
                <w:szCs w:val="28"/>
                <w:lang w:val="uk-UA"/>
              </w:rPr>
              <w:t xml:space="preserve"> «___» ____________20__ року</w:t>
            </w:r>
          </w:p>
        </w:tc>
        <w:tc>
          <w:tcPr>
            <w:tcW w:w="2389" w:type="pct"/>
          </w:tcPr>
          <w:p>
            <w:pPr>
              <w:spacing w:lineRule="atLeast" w:line="240" w:beforeAutospacing="0" w:afterAutospacing="0"/>
              <w:ind w:firstLine="0" w:left="142" w:right="136"/>
              <w:jc w:val="left"/>
              <w:rPr>
                <w:rFonts w:ascii="Times New Roman" w:hAnsi="Times New Roman"/>
                <w:color w:val="000000"/>
                <w:sz w:val="28"/>
                <w:szCs w:val="28"/>
                <w:lang w:val="uk-UA"/>
              </w:rPr>
            </w:pPr>
            <w:r>
              <w:rPr>
                <w:rFonts w:ascii="Times New Roman" w:hAnsi="Times New Roman"/>
                <w:color w:val="000000"/>
                <w:sz w:val="28"/>
                <w:szCs w:val="28"/>
                <w:lang w:val="uk-UA"/>
              </w:rPr>
              <w:t>М.П.</w:t>
            </w:r>
          </w:p>
          <w:p>
            <w:pPr>
              <w:pStyle w:val="P1"/>
              <w:spacing w:lineRule="atLeast" w:line="240" w:beforeAutospacing="0" w:afterAutospacing="0"/>
              <w:ind w:right="-1104"/>
              <w:rPr>
                <w:rFonts w:ascii="Times New Roman" w:hAnsi="Times New Roman"/>
                <w:color w:val="000000"/>
                <w:sz w:val="28"/>
                <w:szCs w:val="28"/>
                <w:lang w:val="uk-UA"/>
              </w:rPr>
            </w:pPr>
            <w:r>
              <w:rPr>
                <w:rFonts w:ascii="Times New Roman" w:hAnsi="Times New Roman"/>
                <w:color w:val="000000"/>
                <w:sz w:val="16"/>
                <w:szCs w:val="16"/>
                <w:lang w:val="uk-UA"/>
              </w:rPr>
              <w:t>(за наявності)</w:t>
            </w:r>
            <w:r>
              <w:rPr>
                <w:rFonts w:ascii="Times New Roman" w:hAnsi="Times New Roman"/>
                <w:color w:val="000000"/>
                <w:sz w:val="28"/>
                <w:szCs w:val="28"/>
                <w:lang w:val="uk-UA"/>
              </w:rPr>
              <w:t xml:space="preserve"> </w:t>
            </w:r>
          </w:p>
          <w:p>
            <w:pPr>
              <w:pStyle w:val="P1"/>
              <w:spacing w:lineRule="atLeast" w:line="240" w:beforeAutospacing="0" w:afterAutospacing="0"/>
              <w:ind w:right="-1104"/>
              <w:rPr>
                <w:rFonts w:ascii="Times New Roman" w:hAnsi="Times New Roman"/>
                <w:sz w:val="28"/>
                <w:szCs w:val="28"/>
                <w:lang w:val="uk-UA"/>
              </w:rPr>
            </w:pPr>
            <w:r>
              <w:rPr>
                <w:rFonts w:ascii="Times New Roman" w:hAnsi="Times New Roman"/>
                <w:color w:val="000000"/>
                <w:sz w:val="28"/>
                <w:szCs w:val="28"/>
                <w:lang w:val="uk-UA"/>
              </w:rPr>
              <w:t>«___»____________20__ року</w:t>
            </w:r>
          </w:p>
        </w:tc>
      </w:tr>
    </w:tbl>
    <w:p>
      <w:pPr>
        <w:pStyle w:val="P1"/>
        <w:spacing w:lineRule="auto" w:line="276" w:beforeAutospacing="0" w:afterAutospacing="0"/>
        <w:jc w:val="both"/>
        <w:rPr>
          <w:rFonts w:ascii="Times New Roman" w:hAnsi="Times New Roman"/>
          <w:sz w:val="24"/>
          <w:szCs w:val="24"/>
        </w:rPr>
      </w:pPr>
    </w:p>
    <w:p>
      <w:pPr>
        <w:pStyle w:val="P1"/>
        <w:spacing w:lineRule="auto" w:line="276" w:beforeAutospacing="0" w:afterAutospacing="0"/>
        <w:jc w:val="both"/>
        <w:rPr>
          <w:rFonts w:ascii="Times New Roman" w:hAnsi="Times New Roman"/>
          <w:sz w:val="24"/>
          <w:szCs w:val="24"/>
          <w:lang w:val="uk-UA"/>
        </w:rPr>
      </w:pPr>
    </w:p>
    <w:p>
      <w:pPr>
        <w:pStyle w:val="P1"/>
        <w:spacing w:lineRule="auto" w:line="276" w:beforeAutospacing="0" w:afterAutospacing="0"/>
        <w:jc w:val="both"/>
        <w:rPr>
          <w:rFonts w:ascii="Times New Roman" w:hAnsi="Times New Roman"/>
          <w:sz w:val="24"/>
          <w:szCs w:val="24"/>
          <w:lang w:val="uk-UA"/>
        </w:rPr>
      </w:pPr>
      <w:r>
        <w:rPr>
          <w:rFonts w:ascii="Times New Roman" w:hAnsi="Times New Roman"/>
          <w:sz w:val="24"/>
          <w:szCs w:val="24"/>
          <w:lang w:val="uk-UA"/>
        </w:rPr>
        <w:t xml:space="preserve">*** Цей Перелік послуг (функцій) застосовується у разі залучення Інженера-консультанта до реалізації </w:t>
      </w:r>
      <w:bookmarkStart w:id="1" w:name="_Hlk170474320"/>
      <w:r>
        <w:rPr>
          <w:rFonts w:ascii="Times New Roman" w:hAnsi="Times New Roman"/>
          <w:sz w:val="24"/>
          <w:szCs w:val="24"/>
          <w:lang w:val="uk-UA"/>
        </w:rPr>
        <w:t>проектів з нового будівництва, реконструкції та капітального ремонту автомобільних доріг загального користування</w:t>
      </w:r>
      <w:bookmarkEnd w:id="1"/>
      <w:r>
        <w:rPr>
          <w:rFonts w:ascii="Times New Roman" w:hAnsi="Times New Roman"/>
          <w:sz w:val="24"/>
          <w:szCs w:val="24"/>
          <w:lang w:val="uk-UA"/>
        </w:rPr>
        <w:t>.</w:t>
      </w:r>
    </w:p>
    <w:p>
      <w:pPr>
        <w:pStyle w:val="P1"/>
        <w:spacing w:lineRule="auto" w:line="276" w:beforeAutospacing="0" w:afterAutospacing="0"/>
        <w:jc w:val="both"/>
        <w:rPr>
          <w:rFonts w:ascii="Times New Roman" w:hAnsi="Times New Roman"/>
          <w:sz w:val="24"/>
          <w:szCs w:val="24"/>
          <w:lang w:val="uk-UA"/>
        </w:rPr>
      </w:pPr>
      <w:r>
        <w:rPr>
          <w:rFonts w:ascii="Times New Roman" w:hAnsi="Times New Roman"/>
          <w:sz w:val="24"/>
          <w:szCs w:val="24"/>
          <w:lang w:val="uk-UA"/>
        </w:rPr>
        <w:t>Перелік послуг (функцій) Інженера-консультанта визначається залежно від етапу, на якому він залучений, особливостей Об’єкта, обсягів фінансування та вимог Замовника, відповідно до Закону України «Про регулювання містобудівної діяльності», Єдиних вимог щодо проектування, нового будівництва, реконструкції та капітального ремонту автомобільних доріг загального користування, затверджених постановою Кабінету Міністрів України від 28.12.2016 № 1065, з урахуванням додатку 22 до Методики визначення вартості дорожніх робіт та послуг щодо визначення вартості нового будівництва, реконструкції, ремонтів та експлуатаційного утримання автомобільних доріг загального користування, затвердженої наказом Мінінфраструктури від 07.10.2022 № 753.</w:t>
      </w:r>
    </w:p>
    <w:p>
      <w:pPr>
        <w:pStyle w:val="P1"/>
        <w:spacing w:lineRule="auto" w:line="276" w:beforeAutospacing="0" w:afterAutospacing="0"/>
        <w:jc w:val="both"/>
        <w:rPr>
          <w:rFonts w:ascii="Times New Roman" w:hAnsi="Times New Roman"/>
          <w:b w:val="1"/>
          <w:sz w:val="24"/>
          <w:szCs w:val="24"/>
          <w:lang w:val="uk-UA"/>
        </w:rPr>
      </w:pPr>
    </w:p>
    <w:p>
      <w:pPr>
        <w:pStyle w:val="P1"/>
        <w:spacing w:lineRule="auto" w:line="276" w:beforeAutospacing="0" w:afterAutospacing="0"/>
        <w:jc w:val="both"/>
        <w:rPr>
          <w:rFonts w:ascii="Times New Roman" w:hAnsi="Times New Roman"/>
          <w:sz w:val="24"/>
          <w:szCs w:val="24"/>
          <w:lang w:val="uk-UA"/>
        </w:rPr>
      </w:pPr>
      <w:r>
        <w:rPr>
          <w:rFonts w:ascii="Times New Roman" w:hAnsi="Times New Roman"/>
          <w:sz w:val="24"/>
          <w:szCs w:val="24"/>
          <w:lang w:val="uk-UA"/>
        </w:rPr>
        <w:t xml:space="preserve">** Послуги Інженера-консультанта, передбачені пунктом 3 цього Переліку (стадія закупівель робіт та послуг), надаються Замовнику на тому етапі реалізації проекту, на якому здійснюються підготовка і проведення відповідних закупівель (на етапі передпроектних робіт, проектування чи будівництва). </w:t>
      </w:r>
    </w:p>
    <w:p>
      <w:pPr>
        <w:pStyle w:val="P1"/>
        <w:spacing w:lineRule="auto" w:line="276" w:beforeAutospacing="0" w:afterAutospacing="0"/>
        <w:jc w:val="both"/>
        <w:rPr>
          <w:rFonts w:ascii="Times New Roman" w:hAnsi="Times New Roman"/>
          <w:sz w:val="24"/>
          <w:szCs w:val="24"/>
          <w:lang w:val="uk-UA"/>
        </w:rPr>
      </w:pPr>
    </w:p>
    <w:p>
      <w:pPr>
        <w:pStyle w:val="P1"/>
        <w:spacing w:lineRule="auto" w:line="276" w:beforeAutospacing="0" w:afterAutospacing="0"/>
        <w:jc w:val="center"/>
        <w:rPr>
          <w:rFonts w:ascii="Times New Roman" w:hAnsi="Times New Roman"/>
          <w:sz w:val="24"/>
          <w:szCs w:val="24"/>
          <w:lang w:val="uk-UA"/>
        </w:rPr>
      </w:pPr>
      <w:r>
        <w:rPr>
          <w:rFonts w:ascii="Times" w:hAnsi="Times"/>
          <w:smallCaps w:val="0"/>
          <w:sz w:val="24"/>
          <w:szCs w:val="22"/>
          <w:cs w:val="0"/>
          <w:spacing w:val="0"/>
          <w:w w:val="100"/>
          <w:position w:val="0"/>
          <w:snapToGrid w:val="1"/>
          <w:lang w:val="uk-UA"/>
        </w:rPr>
        <w:t>_______________</w:t>
      </w:r>
    </w:p>
    <w:sectPr>
      <w:headerReference xmlns:r="http://schemas.openxmlformats.org/officeDocument/2006/relationships" w:type="default" r:id="RelHdr1"/>
      <w:footnotePr/>
      <w:endnotePr/>
      <w:type w:val="nextPage"/>
      <w:pgSz w:w="11906" w:h="16838" w:code="0"/>
      <w:pgMar w:left="1418" w:right="567" w:top="1134" w:bottom="851" w:header="709" w:footer="709" w:gutter="0"/>
      <w:titlePg w:val="1"/>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endnote>
  <w:endnote w:type="continuationSeparator" w:id="0">
    <w:p/>
  </w:endnote>
</w:endnotes>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footnote>
  <w:footnote w:type="continuationSeparator" w:id="0">
    <w:p/>
  </w:footnote>
</w:footnotes>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2"/>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noProof w:val="1"/>
        <w:sz w:val="24"/>
        <w:szCs w:val="24"/>
      </w:rPr>
      <w:t>#</w:t>
    </w:r>
    <w:r>
      <w:rPr>
        <w:rFonts w:ascii="Times New Roman" w:hAnsi="Times New Roman"/>
        <w:noProof w:val="1"/>
        <w:sz w:val="24"/>
        <w:szCs w:val="24"/>
      </w:rPr>
      <w:fldChar w:fldCharType="end"/>
    </w:r>
  </w:p>
  <w:p>
    <w:pPr>
      <w:pStyle w:val="P2"/>
    </w:pP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08"/>
  <w:autoHyphenation w:val="0"/>
  <w:hyphenationZone w:val="425"/>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Calibri" w:hAnsi="Calibri"/>
        <w:sz w:val="22"/>
        <w:szCs w:val="22"/>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ind w:firstLine="567"/>
      <w:jc w:val="both"/>
    </w:pPr>
    <w:rPr>
      <w:lang w:val="ru-RU"/>
    </w:rPr>
  </w:style>
  <w:style w:type="paragraph" w:styleId="P1">
    <w:name w:val="No Spacing"/>
    <w:qFormat/>
    <w:pPr/>
    <w:rPr>
      <w:lang w:val="ru-RU"/>
    </w:rPr>
  </w:style>
  <w:style w:type="paragraph" w:styleId="P2">
    <w:name w:val="header"/>
    <w:basedOn w:val="P0"/>
    <w:link w:val="C3"/>
    <w:pPr>
      <w:tabs>
        <w:tab w:val="center" w:pos="4819" w:leader="none"/>
        <w:tab w:val="right" w:pos="9639" w:leader="none"/>
      </w:tabs>
    </w:pPr>
    <w:rPr/>
  </w:style>
  <w:style w:type="paragraph" w:styleId="P3">
    <w:name w:val="footer"/>
    <w:basedOn w:val="P0"/>
    <w:link w:val="C4"/>
    <w:semiHidden/>
    <w:pPr>
      <w:tabs>
        <w:tab w:val="center" w:pos="4819" w:leader="none"/>
        <w:tab w:val="right" w:pos="9639" w:leader="none"/>
      </w:tabs>
    </w:pPr>
    <w:rPr/>
  </w:style>
  <w:style w:type="paragraph" w:styleId="P4">
    <w:name w:val="Balloon Text"/>
    <w:basedOn w:val="P0"/>
    <w:link w:val="C5"/>
    <w:semiHidden/>
    <w:pPr/>
    <w:rPr>
      <w:rFonts w:ascii="Segoe UI" w:hAnsi="Segoe UI"/>
      <w:sz w:val="18"/>
      <w:szCs w:val="18"/>
    </w:rPr>
  </w:style>
  <w:style w:type="paragraph" w:styleId="P5">
    <w:name w:val="Revision"/>
    <w:hidden/>
    <w:semiHidden/>
    <w:pPr/>
    <w:rPr>
      <w:lang w:val="ru-RU"/>
    </w:rPr>
  </w:style>
  <w:style w:type="paragraph" w:styleId="P6">
    <w:name w:val="footnote text"/>
    <w:link w:val="C7"/>
    <w:semiHidden/>
    <w:pPr>
      <w:spacing w:lineRule="auto" w:line="240" w:after="0" w:beforeAutospacing="0" w:afterAutospacing="0"/>
    </w:pPr>
    <w:rPr>
      <w:sz w:val="20"/>
      <w:szCs w:val="20"/>
    </w:rPr>
  </w:style>
  <w:style w:type="paragraph" w:styleId="P7">
    <w:name w:val="endnote text"/>
    <w:link w:val="C9"/>
    <w:semiHidden/>
    <w:pPr>
      <w:spacing w:lineRule="auto" w:line="240" w:after="0" w:beforeAutospacing="0" w:afterAutospacing="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Верхній колонтитул Знак"/>
    <w:basedOn w:val="C0"/>
    <w:link w:val="P2"/>
    <w:rPr>
      <w:lang w:val="ru-RU"/>
    </w:rPr>
  </w:style>
  <w:style w:type="character" w:styleId="C4">
    <w:name w:val="Нижній колонтитул Знак"/>
    <w:basedOn w:val="C0"/>
    <w:link w:val="P3"/>
    <w:semiHidden/>
    <w:rPr>
      <w:lang w:val="ru-RU"/>
    </w:rPr>
  </w:style>
  <w:style w:type="character" w:styleId="C5">
    <w:name w:val="Текст у виносці Знак"/>
    <w:basedOn w:val="C0"/>
    <w:link w:val="P4"/>
    <w:semiHidden/>
    <w:rPr>
      <w:rFonts w:ascii="Segoe UI" w:hAnsi="Segoe UI"/>
      <w:sz w:val="18"/>
      <w:szCs w:val="18"/>
      <w:lang w:val="ru-RU"/>
    </w:rPr>
  </w:style>
  <w:style w:type="character" w:styleId="C6">
    <w:name w:val="footnote reference"/>
    <w:semiHidden/>
    <w:rPr>
      <w:vertAlign w:val="superscript"/>
    </w:rPr>
  </w:style>
  <w:style w:type="character" w:styleId="C7">
    <w:name w:val="Footnote Text Char"/>
    <w:link w:val="P6"/>
    <w:semiHidden/>
    <w:rPr>
      <w:sz w:val="20"/>
      <w:szCs w:val="20"/>
    </w:rPr>
  </w:style>
  <w:style w:type="character" w:styleId="C8">
    <w:name w:val="endnote reference"/>
    <w:semiHidden/>
    <w:rPr>
      <w:vertAlign w:val="superscript"/>
    </w:rPr>
  </w:style>
  <w:style w:type="character" w:styleId="C9">
    <w:name w:val="Endnote Text Char"/>
    <w:link w:val="P7"/>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rPr>
      <w:sz w:val="20"/>
      <w:szCs w:val="20"/>
      <w:lang w:val="ru-RU"/>
    </w:r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endnotes.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API/21.1.3.0</Application>
  <AppVersion>21.1</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SierhieienkoOP</dc:creator>
  <dcterms:created xsi:type="dcterms:W3CDTF">2022-12-19T09:19:00Z</dcterms:created>
  <cp:lastModifiedBy>askod</cp:lastModifiedBy>
  <cp:lastPrinted>2020-04-03T13:49:00Z</cp:lastPrinted>
  <dcterms:modified xsi:type="dcterms:W3CDTF">2024-08-08T15:03:46Z</dcterms:modified>
  <cp:revision>25</cp:revision>
</cp:coreProperties>
</file>